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8FBB" w14:textId="77777777" w:rsidR="004B2E2C" w:rsidRPr="004B2E2C" w:rsidRDefault="004B2E2C" w:rsidP="004B2E2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AA6C5A9" w14:textId="77777777" w:rsidR="004B2E2C" w:rsidRPr="004B2E2C" w:rsidRDefault="004B2E2C" w:rsidP="004B2E2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216E0C2" wp14:editId="52B94AF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9BE3B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03D578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02135FC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7DD36D" wp14:editId="5B24D37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441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520D2C5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742C1AE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70D228E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70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1DF35C1B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1C214C55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7A0829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6A0784E7" w14:textId="77777777" w:rsidR="004B2E2C" w:rsidRDefault="004B2E2C" w:rsidP="004B2E2C">
      <w:pPr>
        <w:pStyle w:val="a5"/>
        <w:ind w:firstLine="142"/>
        <w:rPr>
          <w:rFonts w:ascii="Times New Roman" w:hAnsi="Times New Roman" w:cs="Times New Roman"/>
          <w:sz w:val="28"/>
          <w:szCs w:val="28"/>
          <w:lang w:eastAsia="uk-UA"/>
        </w:rPr>
      </w:pPr>
      <w:r w:rsidRPr="00985098">
        <w:rPr>
          <w:rFonts w:ascii="Times New Roman" w:hAnsi="Times New Roman" w:cs="Times New Roman"/>
          <w:sz w:val="28"/>
          <w:szCs w:val="28"/>
          <w:lang w:eastAsia="uk-UA"/>
        </w:rPr>
        <w:t xml:space="preserve">Про наміри щодо </w:t>
      </w:r>
      <w:r>
        <w:rPr>
          <w:rFonts w:ascii="Times New Roman" w:hAnsi="Times New Roman" w:cs="Times New Roman"/>
          <w:sz w:val="28"/>
          <w:szCs w:val="28"/>
          <w:lang w:eastAsia="uk-UA"/>
        </w:rPr>
        <w:t>налагодження</w:t>
      </w:r>
      <w:r w:rsidRPr="0098509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DE7967E" w14:textId="5141F53E" w:rsidR="004B2E2C" w:rsidRPr="004B2E2C" w:rsidRDefault="004B2E2C" w:rsidP="004B2E2C">
      <w:pPr>
        <w:pStyle w:val="a5"/>
        <w:ind w:firstLine="142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985098">
        <w:rPr>
          <w:rFonts w:ascii="Times New Roman" w:hAnsi="Times New Roman" w:cs="Times New Roman"/>
          <w:sz w:val="28"/>
          <w:szCs w:val="28"/>
          <w:lang w:eastAsia="uk-UA"/>
        </w:rPr>
        <w:t>півпраці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85098">
        <w:rPr>
          <w:rFonts w:ascii="Times New Roman" w:hAnsi="Times New Roman" w:cs="Times New Roman"/>
          <w:sz w:val="28"/>
          <w:szCs w:val="28"/>
          <w:lang w:eastAsia="uk-UA"/>
        </w:rPr>
        <w:t>та партнерських відносин</w:t>
      </w: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3D361326" w14:textId="6A6A38B1" w:rsidR="00985098" w:rsidRDefault="00985098" w:rsidP="00985098">
      <w:pPr>
        <w:pStyle w:val="a5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080DD118" w14:textId="77777777" w:rsidR="004B2E2C" w:rsidRPr="00985098" w:rsidRDefault="004B2E2C" w:rsidP="00985098">
      <w:pPr>
        <w:pStyle w:val="a5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DB83414" w14:textId="71E797E8" w:rsidR="00BB30D6" w:rsidRPr="00985098" w:rsidRDefault="00FB6861" w:rsidP="00BB30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Керуючись статтями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43C33" w:rsidRPr="00143C33">
        <w:rPr>
          <w:rFonts w:ascii="Times New Roman" w:hAnsi="Times New Roman" w:cs="Times New Roman"/>
          <w:sz w:val="28"/>
          <w:szCs w:val="28"/>
          <w:lang w:eastAsia="uk-UA"/>
        </w:rPr>
        <w:t>26, 42, 59</w:t>
      </w:r>
      <w:r w:rsidR="00143C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місцеве самоврядування в Україні», Законом України «Про міжнародне територіальне співробітництво</w:t>
      </w:r>
      <w:r w:rsidR="00E961DA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», з метою розвитку міжнародного співробітництва, поглиблення культурних, освітніх, </w:t>
      </w:r>
      <w:r w:rsidR="00DE709F">
        <w:rPr>
          <w:rFonts w:ascii="Times New Roman" w:hAnsi="Times New Roman" w:cs="Times New Roman"/>
          <w:sz w:val="28"/>
          <w:szCs w:val="28"/>
          <w:lang w:eastAsia="uk-UA"/>
        </w:rPr>
        <w:t xml:space="preserve">туристичних, екологічних, 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економічних і соціальних зв’язків Рогатинської міської територіальної громади, </w:t>
      </w:r>
      <w:r w:rsidR="00586F2F" w:rsidRPr="00586F2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586F2F" w:rsidRPr="00586F2F">
        <w:rPr>
          <w:rFonts w:ascii="Times New Roman" w:hAnsi="Times New Roman" w:cs="Times New Roman"/>
          <w:sz w:val="28"/>
          <w:szCs w:val="28"/>
        </w:rPr>
        <w:t>кладення та забезпечення виконання Угоди про міжнародне територіальне співробітництво у встановленому законодавством порядку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, сприяння зовнішньоекономічним зв’язкам підприємств, установ та організацій незалежно від форм власності, розташованих на території Рогатинської міської територіальної громади, враховуючи </w:t>
      </w:r>
      <w:r w:rsidR="00586F2F">
        <w:rPr>
          <w:rFonts w:ascii="Times New Roman" w:hAnsi="Times New Roman" w:cs="Times New Roman"/>
          <w:sz w:val="28"/>
          <w:szCs w:val="28"/>
          <w:lang w:eastAsia="uk-UA"/>
        </w:rPr>
        <w:t>наказ Міністерства розвитку громад та територій України від 16 лютого 2026 року №</w:t>
      </w:r>
      <w:r w:rsidR="00F9604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86F2F">
        <w:rPr>
          <w:rFonts w:ascii="Times New Roman" w:hAnsi="Times New Roman" w:cs="Times New Roman"/>
          <w:sz w:val="28"/>
          <w:szCs w:val="28"/>
          <w:lang w:eastAsia="uk-UA"/>
        </w:rPr>
        <w:t xml:space="preserve">293 «Про погодження </w:t>
      </w:r>
      <w:proofErr w:type="spellStart"/>
      <w:r w:rsidR="00586F2F">
        <w:rPr>
          <w:rFonts w:ascii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586F2F">
        <w:rPr>
          <w:rFonts w:ascii="Times New Roman" w:hAnsi="Times New Roman" w:cs="Times New Roman"/>
          <w:sz w:val="28"/>
          <w:szCs w:val="28"/>
          <w:lang w:eastAsia="uk-UA"/>
        </w:rPr>
        <w:t xml:space="preserve"> угод про міжнародне </w:t>
      </w:r>
      <w:r w:rsidR="00586F2F" w:rsidRPr="00985098">
        <w:rPr>
          <w:rFonts w:ascii="Times New Roman" w:hAnsi="Times New Roman" w:cs="Times New Roman"/>
          <w:sz w:val="28"/>
          <w:szCs w:val="28"/>
          <w:lang w:eastAsia="uk-UA"/>
        </w:rPr>
        <w:t xml:space="preserve">територіальне співробітництво» та </w:t>
      </w:r>
      <w:r w:rsidR="00BB30D6" w:rsidRPr="00985098">
        <w:rPr>
          <w:rFonts w:ascii="Times New Roman" w:hAnsi="Times New Roman" w:cs="Times New Roman"/>
          <w:sz w:val="28"/>
          <w:szCs w:val="28"/>
          <w:lang w:eastAsia="uk-UA"/>
        </w:rPr>
        <w:t>висновки постійних комісій, міська рада ВИРІШИЛА:</w:t>
      </w:r>
    </w:p>
    <w:p w14:paraId="1EB2ECB0" w14:textId="2EE59C29" w:rsidR="00BB30D6" w:rsidRPr="00BB30D6" w:rsidRDefault="00BB30D6" w:rsidP="00BB30D6">
      <w:pPr>
        <w:pStyle w:val="a5"/>
        <w:numPr>
          <w:ilvl w:val="0"/>
          <w:numId w:val="2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Схвалити наміри щодо </w:t>
      </w:r>
      <w:r w:rsidR="006E2F43">
        <w:rPr>
          <w:rFonts w:ascii="Times New Roman" w:hAnsi="Times New Roman" w:cs="Times New Roman"/>
          <w:sz w:val="28"/>
          <w:szCs w:val="28"/>
          <w:lang w:eastAsia="uk-UA"/>
        </w:rPr>
        <w:t>налагодження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співпраці та партнерських відносин між </w:t>
      </w:r>
      <w:proofErr w:type="spellStart"/>
      <w:r w:rsidRPr="00BB30D6">
        <w:rPr>
          <w:rFonts w:ascii="Times New Roman" w:hAnsi="Times New Roman" w:cs="Times New Roman"/>
          <w:sz w:val="28"/>
          <w:szCs w:val="28"/>
          <w:lang w:eastAsia="uk-UA"/>
        </w:rPr>
        <w:t>Рогатинською</w:t>
      </w:r>
      <w:proofErr w:type="spellEnd"/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міською територіальною громадою (Україна) та Примарією села </w:t>
      </w:r>
      <w:proofErr w:type="spellStart"/>
      <w:r w:rsidRPr="00BB30D6">
        <w:rPr>
          <w:rFonts w:ascii="Times New Roman" w:hAnsi="Times New Roman" w:cs="Times New Roman"/>
          <w:sz w:val="28"/>
          <w:szCs w:val="28"/>
          <w:lang w:eastAsia="uk-UA"/>
        </w:rPr>
        <w:t>Сірець</w:t>
      </w:r>
      <w:proofErr w:type="spellEnd"/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(Республіка Молдова) з метою співробітництва у сферах освіти, культури, </w:t>
      </w:r>
      <w:r w:rsidR="00DE709F">
        <w:rPr>
          <w:rFonts w:ascii="Times New Roman" w:hAnsi="Times New Roman" w:cs="Times New Roman"/>
          <w:sz w:val="28"/>
          <w:szCs w:val="28"/>
          <w:lang w:eastAsia="uk-UA"/>
        </w:rPr>
        <w:t xml:space="preserve">туризму, екології, економіки, 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місцевого самоврядування, обміну досвідом та реалізації спільних </w:t>
      </w:r>
      <w:proofErr w:type="spellStart"/>
      <w:r w:rsidRPr="00BB30D6">
        <w:rPr>
          <w:rFonts w:ascii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BB30D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12ED482" w14:textId="21012673" w:rsidR="00BB30D6" w:rsidRPr="00586F2F" w:rsidRDefault="00586F2F" w:rsidP="00BB30D6">
      <w:pPr>
        <w:pStyle w:val="a5"/>
        <w:numPr>
          <w:ilvl w:val="0"/>
          <w:numId w:val="2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86F2F">
        <w:rPr>
          <w:rFonts w:ascii="Times New Roman" w:hAnsi="Times New Roman" w:cs="Times New Roman"/>
          <w:sz w:val="28"/>
          <w:szCs w:val="28"/>
        </w:rPr>
        <w:t>Уповноважити міського голову</w:t>
      </w:r>
      <w:r w:rsidR="00E36B93" w:rsidRPr="00E36B93">
        <w:rPr>
          <w:rFonts w:ascii="Times New Roman" w:hAnsi="Times New Roman" w:cs="Times New Roman"/>
          <w:sz w:val="28"/>
          <w:szCs w:val="28"/>
        </w:rPr>
        <w:t xml:space="preserve"> </w:t>
      </w:r>
      <w:r w:rsidR="00E36B93">
        <w:rPr>
          <w:rFonts w:ascii="Times New Roman" w:hAnsi="Times New Roman" w:cs="Times New Roman"/>
          <w:sz w:val="28"/>
          <w:szCs w:val="28"/>
        </w:rPr>
        <w:t xml:space="preserve">Сергія </w:t>
      </w:r>
      <w:r w:rsidR="005C4858">
        <w:rPr>
          <w:rFonts w:ascii="Times New Roman" w:hAnsi="Times New Roman" w:cs="Times New Roman"/>
          <w:sz w:val="28"/>
          <w:szCs w:val="28"/>
        </w:rPr>
        <w:t>НАСАЛИКА</w:t>
      </w:r>
      <w:r w:rsidR="005C4858" w:rsidRPr="00586F2F">
        <w:rPr>
          <w:rFonts w:ascii="Times New Roman" w:hAnsi="Times New Roman" w:cs="Times New Roman"/>
          <w:sz w:val="28"/>
          <w:szCs w:val="28"/>
        </w:rPr>
        <w:t xml:space="preserve"> </w:t>
      </w:r>
      <w:r w:rsidRPr="00586F2F">
        <w:rPr>
          <w:rFonts w:ascii="Times New Roman" w:hAnsi="Times New Roman" w:cs="Times New Roman"/>
          <w:sz w:val="28"/>
          <w:szCs w:val="28"/>
        </w:rPr>
        <w:t xml:space="preserve">укласти від імені Рогатинської міської ради Угоду про міжнародне територіальне співробітництво між </w:t>
      </w:r>
      <w:proofErr w:type="spellStart"/>
      <w:r w:rsidRPr="00586F2F">
        <w:rPr>
          <w:rFonts w:ascii="Times New Roman" w:hAnsi="Times New Roman" w:cs="Times New Roman"/>
          <w:sz w:val="28"/>
          <w:szCs w:val="28"/>
        </w:rPr>
        <w:t>Рогатинською</w:t>
      </w:r>
      <w:proofErr w:type="spellEnd"/>
      <w:r w:rsidRPr="00586F2F">
        <w:rPr>
          <w:rFonts w:ascii="Times New Roman" w:hAnsi="Times New Roman" w:cs="Times New Roman"/>
          <w:sz w:val="28"/>
          <w:szCs w:val="28"/>
        </w:rPr>
        <w:t xml:space="preserve"> міською радою (Україна) та Примарією села </w:t>
      </w:r>
      <w:proofErr w:type="spellStart"/>
      <w:r w:rsidRPr="00586F2F">
        <w:rPr>
          <w:rFonts w:ascii="Times New Roman" w:hAnsi="Times New Roman" w:cs="Times New Roman"/>
          <w:sz w:val="28"/>
          <w:szCs w:val="28"/>
        </w:rPr>
        <w:t>Сірець</w:t>
      </w:r>
      <w:proofErr w:type="spellEnd"/>
      <w:r w:rsidRPr="00586F2F">
        <w:rPr>
          <w:rFonts w:ascii="Times New Roman" w:hAnsi="Times New Roman" w:cs="Times New Roman"/>
          <w:sz w:val="28"/>
          <w:szCs w:val="28"/>
        </w:rPr>
        <w:t xml:space="preserve"> (Республіка Молдова), яка не суперечить чинному законодавству України (додається).</w:t>
      </w:r>
    </w:p>
    <w:p w14:paraId="0C9B5E64" w14:textId="7987EA62" w:rsidR="00BB30D6" w:rsidRPr="00BB30D6" w:rsidRDefault="00BB30D6" w:rsidP="00BB30D6">
      <w:pPr>
        <w:pStyle w:val="a5"/>
        <w:numPr>
          <w:ilvl w:val="0"/>
          <w:numId w:val="2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Доручити виконавчому комітету Рогатинської міської ради забезпечити організаційні заходи щодо </w:t>
      </w:r>
      <w:r w:rsidR="006E2F43">
        <w:rPr>
          <w:rFonts w:ascii="Times New Roman" w:hAnsi="Times New Roman" w:cs="Times New Roman"/>
          <w:sz w:val="28"/>
          <w:szCs w:val="28"/>
          <w:lang w:eastAsia="uk-UA"/>
        </w:rPr>
        <w:t>налагодження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співпраці та партнерських відносин.</w:t>
      </w:r>
    </w:p>
    <w:p w14:paraId="3F80C9AA" w14:textId="0E5659FE" w:rsidR="00BB30D6" w:rsidRPr="00BB30D6" w:rsidRDefault="00BB30D6" w:rsidP="00BB30D6">
      <w:pPr>
        <w:pStyle w:val="a5"/>
        <w:numPr>
          <w:ilvl w:val="0"/>
          <w:numId w:val="2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міської ради з питань </w:t>
      </w:r>
      <w:r w:rsidR="00E86210">
        <w:rPr>
          <w:rFonts w:ascii="Times New Roman" w:hAnsi="Times New Roman" w:cs="Times New Roman"/>
          <w:sz w:val="28"/>
          <w:szCs w:val="28"/>
          <w:lang w:eastAsia="uk-UA"/>
        </w:rPr>
        <w:t>законності та місцевого самоврядування (В.СТ</w:t>
      </w:r>
      <w:r w:rsidR="00E0685D">
        <w:rPr>
          <w:rFonts w:ascii="Times New Roman" w:hAnsi="Times New Roman" w:cs="Times New Roman"/>
          <w:sz w:val="28"/>
          <w:szCs w:val="28"/>
          <w:lang w:eastAsia="uk-UA"/>
        </w:rPr>
        <w:t>РУК)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5C2CDD4" w14:textId="77777777" w:rsidR="00E961DA" w:rsidRDefault="00E961DA" w:rsidP="00985098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D33E1AF" w14:textId="7F5B6CE1" w:rsidR="00DE709F" w:rsidRDefault="0098509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Сергій НАСАЛИК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C4858" w:rsidRPr="005C4858" w14:paraId="6C4AEB67" w14:textId="77777777" w:rsidTr="00655DEE">
        <w:trPr>
          <w:trHeight w:val="3014"/>
        </w:trPr>
        <w:tc>
          <w:tcPr>
            <w:tcW w:w="4428" w:type="dxa"/>
          </w:tcPr>
          <w:p w14:paraId="0E683E30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lastRenderedPageBreak/>
              <w:drawing>
                <wp:inline distT="0" distB="0" distL="0" distR="0" wp14:anchorId="16DABDAD" wp14:editId="60AB40B4">
                  <wp:extent cx="1157933" cy="1491690"/>
                  <wp:effectExtent l="0" t="0" r="4445" b="0"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71" cy="1507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50266704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inline distT="114300" distB="114300" distL="114300" distR="114300" wp14:anchorId="24DE35B3" wp14:editId="7BBED49D">
                  <wp:extent cx="1757045" cy="1552575"/>
                  <wp:effectExtent l="0" t="0" r="0" b="9525"/>
                  <wp:docPr id="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t="13991" b="16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33" cy="1553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5BE4A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b/>
          <w:sz w:val="32"/>
        </w:rPr>
        <w:t>УГОДА</w:t>
      </w:r>
    </w:p>
    <w:p w14:paraId="55D1D7B3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b/>
          <w:sz w:val="28"/>
        </w:rPr>
        <w:t xml:space="preserve">про </w:t>
      </w:r>
      <w:proofErr w:type="spellStart"/>
      <w:r w:rsidRPr="005C4858">
        <w:rPr>
          <w:rFonts w:ascii="Times New Roman" w:eastAsia="Times New Roman" w:hAnsi="Times New Roman" w:cs="Arial"/>
          <w:b/>
          <w:sz w:val="28"/>
        </w:rPr>
        <w:t>міжнародне</w:t>
      </w:r>
      <w:proofErr w:type="spellEnd"/>
      <w:r w:rsidRPr="005C4858">
        <w:rPr>
          <w:rFonts w:ascii="Times New Roman" w:eastAsia="Times New Roman" w:hAnsi="Times New Roman" w:cs="Arial"/>
          <w:b/>
          <w:sz w:val="28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8"/>
        </w:rPr>
        <w:t>територіальне</w:t>
      </w:r>
      <w:proofErr w:type="spellEnd"/>
      <w:r w:rsidRPr="005C4858">
        <w:rPr>
          <w:rFonts w:ascii="Times New Roman" w:eastAsia="Times New Roman" w:hAnsi="Times New Roman" w:cs="Arial"/>
          <w:b/>
          <w:sz w:val="28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8"/>
        </w:rPr>
        <w:t>співробітництво</w:t>
      </w:r>
      <w:proofErr w:type="spellEnd"/>
    </w:p>
    <w:p w14:paraId="6E4CDE6B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Рогатинською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міською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радою (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Україна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)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Примарією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села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Сірець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(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Республіка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Молдова)</w:t>
      </w:r>
    </w:p>
    <w:p w14:paraId="15FD9A65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</w:rPr>
      </w:pPr>
    </w:p>
    <w:p w14:paraId="3D18E15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Рогатинська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міська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рада,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Україна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Примарія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села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Сірець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район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Страшень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Республіка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Молдова, разом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іменовані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надалі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– «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»,</w:t>
      </w:r>
    </w:p>
    <w:p w14:paraId="7E89BFD6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керуючись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положеннями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Європейської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рамкової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конвенції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транскордонне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общинами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властями,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ухваленої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Радою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Європи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21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травня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1980 року у м. Мадрид, 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Додаткових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протоколів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</w:p>
    <w:p w14:paraId="059170E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ґрунтуючись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зацікавленості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поглибленні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зміцненні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розширенні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Сторонами;</w:t>
      </w:r>
    </w:p>
    <w:p w14:paraId="37A500A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виключаючи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будь-яке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втручання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внутрішні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справи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дотримуючись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людини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основоположних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свобод; </w:t>
      </w:r>
    </w:p>
    <w:p w14:paraId="501692A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керуючись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принципами верховенства права, доброго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врядування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добровільності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рівноправності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прозорості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відкритості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взаємовигідного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партнерства,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відповідальності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його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результати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;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уклали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Угоду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:</w:t>
      </w:r>
    </w:p>
    <w:p w14:paraId="0D05134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1. Предмет та </w:t>
      </w:r>
      <w:proofErr w:type="gramStart"/>
      <w:r w:rsidRPr="005C4858">
        <w:rPr>
          <w:rFonts w:ascii="Times New Roman" w:eastAsia="Times New Roman" w:hAnsi="Times New Roman" w:cs="Arial"/>
          <w:b/>
          <w:sz w:val="24"/>
        </w:rPr>
        <w:t>мета</w:t>
      </w:r>
      <w:proofErr w:type="gramEnd"/>
      <w:r w:rsidRPr="005C4858">
        <w:rPr>
          <w:rFonts w:ascii="Times New Roman" w:eastAsia="Times New Roman" w:hAnsi="Times New Roman" w:cs="Arial"/>
          <w:b/>
          <w:sz w:val="24"/>
        </w:rPr>
        <w:t xml:space="preserve"> Угоди</w:t>
      </w:r>
    </w:p>
    <w:p w14:paraId="16C1088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1.1. Предметом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є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встановлення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у межах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повноважень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0671AB7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1.2. Метою Угоди є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створення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організаційних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умов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спрямованих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сталий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r w:rsidRPr="005C4858">
        <w:rPr>
          <w:rFonts w:ascii="Times New Roman" w:eastAsia="Times New Roman" w:hAnsi="Times New Roman" w:cs="Arial"/>
          <w:sz w:val="24"/>
          <w:lang w:val="uk-UA"/>
        </w:rPr>
        <w:t xml:space="preserve">територіальних </w:t>
      </w:r>
      <w:r w:rsidRPr="005C4858">
        <w:rPr>
          <w:rFonts w:ascii="Times New Roman" w:eastAsia="Times New Roman" w:hAnsi="Times New Roman" w:cs="Arial"/>
          <w:sz w:val="24"/>
        </w:rPr>
        <w:t xml:space="preserve">громад,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підвищення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послуг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людського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капіталу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місцевої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економіки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51CBCE72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2.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Напрями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співробітництва</w:t>
      </w:r>
      <w:proofErr w:type="spellEnd"/>
    </w:p>
    <w:p w14:paraId="12BBB99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2.1.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таких сферах:</w:t>
      </w:r>
    </w:p>
    <w:p w14:paraId="46CAB476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культура,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мистецтво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охорона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популяризація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культурної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спадщини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6979E2F7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освіта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молодіжна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політика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спорт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освітні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учнів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студентів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фахівців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0404FE3E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охорона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довкілля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кліматичні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ініціативи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енергоефективність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4E9A4233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  <w:lang w:val="en-US"/>
        </w:rPr>
      </w:pP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туризм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та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промоція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територій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>;</w:t>
      </w:r>
    </w:p>
    <w:p w14:paraId="0EEA88C7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місцевий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економічний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підприємництво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залучення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інвестицій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кращими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практиками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управління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568E037F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підготовка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у межах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програм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грантових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інструментів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21290AB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2.2.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здійснювати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сферах,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становитимуть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інтерес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згодою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в межах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повноважень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урахуванням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принципу партнерства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згоди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E8DA1D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lastRenderedPageBreak/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3.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Форми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механізми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співробітництва</w:t>
      </w:r>
      <w:proofErr w:type="spellEnd"/>
    </w:p>
    <w:p w14:paraId="5A86A34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шляхом:</w:t>
      </w:r>
    </w:p>
    <w:p w14:paraId="7A31A889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обміну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інформацією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статистичними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даними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методичними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матеріалами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експертною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підтримкою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5E1B8B40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організації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заходів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візитів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робочих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зустрічей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навчань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консультацій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61B9FD46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розроблення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програм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планів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ініціатив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37365D44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створення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робочих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груп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(за потреби)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підготовки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супроводу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BA4D6B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Конкретні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заходи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результати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деталізуватися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річних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планах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протоколах/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програмах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суперечать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Угоді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DCD07B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рамках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відповідно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чинного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в межах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компетенції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суб'єктів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учасників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визначеного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національним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законодавством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7DAEA36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3.4.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завчасно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інформують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одна одну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національному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вплинути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2FC01DD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4.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Правові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фінансові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засади</w:t>
      </w:r>
    </w:p>
    <w:p w14:paraId="784545D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Правовідносини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виникатимуть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зв’язку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регулюються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нормами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14949A8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Усі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правовідносини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виникають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зв’язку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і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врегульовані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нею,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регулюються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нормами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23F7FB3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Угода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створює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фінансових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зобов’язань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Фінансування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заходів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лише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підставі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рішень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договорів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щодо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кожного конкретного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забезпечуватися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рахунок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технічної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допомоги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грантів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джерел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заборонених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законом.</w:t>
      </w:r>
    </w:p>
    <w:p w14:paraId="7B6E2BB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4.4.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вживають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необхідних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заходів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залучення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доступних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фінансових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інструментів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метою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ініціатив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4C904CD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5.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Координація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планування</w:t>
      </w:r>
      <w:proofErr w:type="spellEnd"/>
    </w:p>
    <w:p w14:paraId="56E1D9C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5.1.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забезпечення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призначають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контактних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осіб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відповідальні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підрозділи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16DA906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5.2.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потреби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розробляють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узгоджують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щорічні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плани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відповідно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56FA285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5.3.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Контактні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дані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повідомляються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(листом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електронним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повідомленням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) без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внесення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до тексту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55E97CC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6.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Обмін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інформацією</w:t>
      </w:r>
      <w:proofErr w:type="spellEnd"/>
    </w:p>
    <w:p w14:paraId="796581F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6.1.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інформацією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досвідом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у сферах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визначених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Угодою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питань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становлять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для них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інтерес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дотриманням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вимог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захист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персональних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даних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обмеженим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доступом.</w:t>
      </w:r>
    </w:p>
    <w:p w14:paraId="4638A59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7.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Оцінка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прогресу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додаткові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домовленості</w:t>
      </w:r>
      <w:proofErr w:type="spellEnd"/>
    </w:p>
    <w:p w14:paraId="06368F0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7.1.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проводять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можливості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щорічні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зустрічі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консультації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метою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оцінки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прогресу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7619668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7.2. З метою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укладати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протоколи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документи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у тому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числі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щодо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утворення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приєднання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органів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урахуванням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477EBC8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8.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Вирішення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спорів</w:t>
      </w:r>
      <w:proofErr w:type="spellEnd"/>
    </w:p>
    <w:p w14:paraId="64137A8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8.1.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Розбіжності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щодо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тлумачення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застосування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вирішуються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шляхом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проведення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переговорів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консультацій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Сторонами.</w:t>
      </w:r>
    </w:p>
    <w:p w14:paraId="5A4FA38B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lastRenderedPageBreak/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9. Строк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припинення</w:t>
      </w:r>
      <w:proofErr w:type="spellEnd"/>
    </w:p>
    <w:p w14:paraId="3C41EEE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набирає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чинності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дня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підписання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протягом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5 (</w:t>
      </w:r>
      <w:proofErr w:type="spellStart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п’яти</w:t>
      </w:r>
      <w:proofErr w:type="spellEnd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 xml:space="preserve">) </w:t>
      </w:r>
      <w:proofErr w:type="spellStart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років</w:t>
      </w:r>
      <w:proofErr w:type="spellEnd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.</w:t>
      </w:r>
    </w:p>
    <w:p w14:paraId="4877D55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9.2.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разі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строк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закінчується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жодна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повідомила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свої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наміри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припинити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Угоди, строк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автоматично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продовжується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наступний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5-річний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період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8410D6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достроково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припиняється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через три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місяці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після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отримання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однією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повідомлення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наміри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припинити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32AC003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9.4.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впливає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незавершених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домовленостей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домовились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0B91D32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9.5.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доповнення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вносяться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лише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згодою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оформлюються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додатковими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угодами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є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невід’ємною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частиною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Внесення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доповнень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у тому ж порядку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укладення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745DE1A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Вчинено в _________ «____» </w:t>
      </w:r>
      <w:r w:rsidRPr="005C4858">
        <w:rPr>
          <w:rFonts w:ascii="Times New Roman" w:eastAsia="Times New Roman" w:hAnsi="Times New Roman" w:cs="Arial"/>
          <w:sz w:val="24"/>
          <w:lang w:val="uk-UA"/>
        </w:rPr>
        <w:t>________</w:t>
      </w:r>
      <w:r w:rsidRPr="005C4858">
        <w:rPr>
          <w:rFonts w:ascii="Times New Roman" w:eastAsia="Times New Roman" w:hAnsi="Times New Roman" w:cs="Arial"/>
          <w:sz w:val="24"/>
        </w:rPr>
        <w:t xml:space="preserve"> 2026 року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двох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примірниках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кожний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українською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румунською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мовами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50A6616A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  <w:lang w:val="uk-UA"/>
        </w:rPr>
      </w:pPr>
    </w:p>
    <w:p w14:paraId="19F3FDB2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  <w:lang w:val="en-US"/>
        </w:rPr>
      </w:pPr>
      <w:r w:rsidRPr="005C4858">
        <w:rPr>
          <w:rFonts w:ascii="Times New Roman" w:eastAsia="Times New Roman" w:hAnsi="Times New Roman" w:cs="Arial"/>
          <w:b/>
          <w:sz w:val="24"/>
          <w:lang w:val="en-US"/>
        </w:rPr>
        <w:t>ПІДПИСИ СТОРІН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4858" w:rsidRPr="005C4858" w14:paraId="6263CE19" w14:textId="77777777" w:rsidTr="00655DEE">
        <w:tc>
          <w:tcPr>
            <w:tcW w:w="4320" w:type="dxa"/>
          </w:tcPr>
          <w:p w14:paraId="40585581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Рогатинська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міська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рада</w:t>
            </w:r>
          </w:p>
        </w:tc>
        <w:tc>
          <w:tcPr>
            <w:tcW w:w="4320" w:type="dxa"/>
          </w:tcPr>
          <w:p w14:paraId="17D5066A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Примарія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Сірець</w:t>
            </w:r>
            <w:proofErr w:type="spellEnd"/>
          </w:p>
        </w:tc>
      </w:tr>
      <w:tr w:rsidR="005C4858" w:rsidRPr="005C4858" w14:paraId="492F3AE5" w14:textId="77777777" w:rsidTr="00655DEE">
        <w:tc>
          <w:tcPr>
            <w:tcW w:w="4320" w:type="dxa"/>
          </w:tcPr>
          <w:p w14:paraId="29E67AC3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r w:rsidRPr="005C4858">
              <w:rPr>
                <w:rFonts w:ascii="Times New Roman" w:eastAsia="Times New Roman" w:hAnsi="Times New Roman" w:cs="Arial"/>
                <w:sz w:val="24"/>
              </w:rPr>
              <w:t>_____________________________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Міський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голова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Сергій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Насалик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М.П.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Дата: __</w:t>
            </w:r>
            <w:proofErr w:type="gramStart"/>
            <w:r w:rsidRPr="005C4858">
              <w:rPr>
                <w:rFonts w:ascii="Times New Roman" w:eastAsia="Times New Roman" w:hAnsi="Times New Roman" w:cs="Arial"/>
                <w:sz w:val="24"/>
              </w:rPr>
              <w:t>_.</w:t>
            </w:r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proofErr w:type="gramEnd"/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t>_________.2026</w:t>
            </w:r>
          </w:p>
        </w:tc>
        <w:tc>
          <w:tcPr>
            <w:tcW w:w="4320" w:type="dxa"/>
          </w:tcPr>
          <w:p w14:paraId="0A0050FA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r w:rsidRPr="005C4858">
              <w:rPr>
                <w:rFonts w:ascii="Times New Roman" w:eastAsia="Times New Roman" w:hAnsi="Times New Roman" w:cs="Arial"/>
                <w:sz w:val="24"/>
              </w:rPr>
              <w:t>_____________________________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Примар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Леонід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Боагі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М.П.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Дата: __</w:t>
            </w:r>
            <w:proofErr w:type="gramStart"/>
            <w:r w:rsidRPr="005C4858">
              <w:rPr>
                <w:rFonts w:ascii="Times New Roman" w:eastAsia="Times New Roman" w:hAnsi="Times New Roman" w:cs="Arial"/>
                <w:sz w:val="24"/>
              </w:rPr>
              <w:t>_.</w:t>
            </w:r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proofErr w:type="gramEnd"/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t>_________.2026</w:t>
            </w:r>
          </w:p>
        </w:tc>
      </w:tr>
    </w:tbl>
    <w:p w14:paraId="33F3463F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</w:rPr>
      </w:pPr>
    </w:p>
    <w:p w14:paraId="716CEBEC" w14:textId="33A1F62D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6DF702" w14:textId="00A9FFB1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C2D55D" w14:textId="117FFCC6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10E871" w14:textId="01B23B91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DA3D2F6" w14:textId="00E1046F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373D15E" w14:textId="1D33E216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A752A40" w14:textId="2BE2C54C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B7CB9A" w14:textId="670AA85D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EE9D453" w14:textId="0B833425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742790" w14:textId="5A1E9B06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2E1B9B" w14:textId="7AE5EEC2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205866E" w14:textId="090310D7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9CAA4" w14:textId="6DCFDACE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A09F9E2" w14:textId="4BC4466A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CE3F40" w14:textId="5A5D65EC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C1BE93F" w14:textId="65CFFFE9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799684E" w14:textId="5343704C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37E61B" w14:textId="44837320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E459E3" w14:textId="305902FA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D3FC6C" w14:textId="1C87B6A5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C4858" w:rsidRPr="005C4858" w14:paraId="21C55389" w14:textId="77777777" w:rsidTr="00655DEE">
        <w:trPr>
          <w:trHeight w:val="3014"/>
        </w:trPr>
        <w:tc>
          <w:tcPr>
            <w:tcW w:w="4428" w:type="dxa"/>
          </w:tcPr>
          <w:p w14:paraId="6DFF53DE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lastRenderedPageBreak/>
              <w:drawing>
                <wp:inline distT="0" distB="0" distL="0" distR="0" wp14:anchorId="2EE11E42" wp14:editId="0D52A072">
                  <wp:extent cx="1157933" cy="1491690"/>
                  <wp:effectExtent l="0" t="0" r="4445" b="0"/>
                  <wp:docPr id="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71" cy="1507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7415E23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inline distT="114300" distB="114300" distL="114300" distR="114300" wp14:anchorId="35E2006B" wp14:editId="3A36DBE4">
                  <wp:extent cx="1757045" cy="1552575"/>
                  <wp:effectExtent l="0" t="0" r="0" b="9525"/>
                  <wp:docPr id="1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t="13991" b="16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33" cy="1553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27B20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b/>
          <w:sz w:val="32"/>
          <w:lang w:val="en-US"/>
        </w:rPr>
        <w:t>ACORD</w:t>
      </w:r>
    </w:p>
    <w:p w14:paraId="07DA31A0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teritorială</w:t>
      </w:r>
      <w:proofErr w:type="spellEnd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internațională</w:t>
      </w:r>
      <w:proofErr w:type="spellEnd"/>
    </w:p>
    <w:p w14:paraId="58AE870A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Consiliul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Orășenesc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Rohatyn (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Ucraina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)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Primăria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satului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Sireți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(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Republica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Moldova)</w:t>
      </w:r>
    </w:p>
    <w:p w14:paraId="3A7F6226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43E52BA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Consiliul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Orășenesc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Rohatyn,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Ucraina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Primăria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Sireți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raionul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Strășeni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Republica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Moldova,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denumite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continuare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împreună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– «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»,</w:t>
      </w:r>
    </w:p>
    <w:p w14:paraId="49C7F24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având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vedere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Convenției-cadru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europene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transfrontalieră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colectivitățile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autoritățile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adoptată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Consiliul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Europei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21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mai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1980, la Madrid, precum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Protocoalele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adiționale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aceasta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,</w:t>
      </w:r>
    </w:p>
    <w:p w14:paraId="16A603A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bazându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-se pe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interesul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aprofundarea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consolidarea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extinderea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9E7F00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excluzând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ingerință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afacerile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interne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respectând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drepturile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omului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libertățile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fundamentale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51F0BAE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ghidându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-se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principiile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drept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bunei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guvernări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voluntarității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egalității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drepturi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transparenței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deschiderii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parteneriatului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avantajoase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precum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responsabilității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rezultatele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acestora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; au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încheiat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urmează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:</w:t>
      </w:r>
    </w:p>
    <w:p w14:paraId="1B3FE35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1.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Obiectul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scopul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Acordului</w:t>
      </w:r>
      <w:proofErr w:type="spellEnd"/>
    </w:p>
    <w:p w14:paraId="7D01B19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1.1.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Obiectul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este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stabilirea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limitele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competențelor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lor.</w:t>
      </w:r>
    </w:p>
    <w:p w14:paraId="4506A2A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1.2.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Scopul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este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crearea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condițiilor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organizaționale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acțiuni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orientate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spre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durabilă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comunităților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îmbunătățirea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calității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serviciilor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capitalului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uman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economiei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locale.</w:t>
      </w:r>
    </w:p>
    <w:p w14:paraId="2A9BC94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2.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Domeniile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cooperare</w:t>
      </w:r>
      <w:proofErr w:type="spellEnd"/>
    </w:p>
    <w:p w14:paraId="35864B8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2.1.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următoarele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domenii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:</w:t>
      </w:r>
    </w:p>
    <w:p w14:paraId="7C0BD7CC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cultură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artă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protecția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promovarea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patrimoniului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cultural;</w:t>
      </w:r>
    </w:p>
    <w:p w14:paraId="6D62ACEF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educație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politici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tineret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sport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educaționale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elevi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studenți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specialiști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D914887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protecția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mediului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inițiative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climatice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eficiență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energetică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49985F0D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turism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promovarea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58340DF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economică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locală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antreprenoriat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atragerea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investițiilor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practici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management;</w:t>
      </w:r>
    </w:p>
    <w:p w14:paraId="475CB255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pregătirea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cadrul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programelor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instrumentelor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granturi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4A32428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2.2.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pot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domenii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interes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limitele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competențelor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ținând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principiul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parteneriatului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consimțământului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052EA16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lastRenderedPageBreak/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3.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Forme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mecanisme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cooperare</w:t>
      </w:r>
      <w:proofErr w:type="spellEnd"/>
    </w:p>
    <w:p w14:paraId="68F322B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:</w:t>
      </w:r>
    </w:p>
    <w:p w14:paraId="5287C40F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informații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date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statistice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materiale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metodologice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sprijin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expertiză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3D795DC6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organizarea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evenimente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vizite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întâlniri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lucru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instruiri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consultări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40F451A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elaborarea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programe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planuri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acțiune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inițiative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08DADDED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crearea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grupuri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lucru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(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necesitate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)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pregătirea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însoțirea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4F807AB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Măsurile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concrete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rezultatele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pot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detaliate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planuri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protocoale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programe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separate, care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contravin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0EF1232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desfășoară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cadrul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conformitate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vigoare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limitele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competențelor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subiecților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participanților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stabilite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53DEC3D2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3.4.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timp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util,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despre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pot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influența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240B26A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4.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Baze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juridice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financiare</w:t>
      </w:r>
      <w:proofErr w:type="spellEnd"/>
    </w:p>
    <w:p w14:paraId="5AD6CCE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Raporturile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juridice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apărea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legătură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reglementate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normele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D808E6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raporturile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juridice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apar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legătură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executarea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nu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reglementate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reglementate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normele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47E37A8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creează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obligații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financiare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Finanțarea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anumitor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activități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numai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baza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unor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decizii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unor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contracte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fiecare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concret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asigurată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asemenea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din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asistență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tehnică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granturi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surse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nu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interzise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CE1668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4.4.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măsurile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necesare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atrage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instrumentele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financiare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disponibile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vederea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inițiativelor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6E27848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5.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Coordonare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planificare</w:t>
      </w:r>
      <w:proofErr w:type="spellEnd"/>
    </w:p>
    <w:p w14:paraId="7D13816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5.1.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asigurarea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executării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desemnează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persoane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contact/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subdiviziuni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responsabile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05881AB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5.2.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necesitate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elaborează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coordonează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planuri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conformitate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0E7365F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5.3.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Datele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contact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acestora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comunicate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celeilalte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(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scrisoare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mesaj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electronic),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fără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textul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7C1AD33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6.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Schimbul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informații</w:t>
      </w:r>
      <w:proofErr w:type="spellEnd"/>
    </w:p>
    <w:p w14:paraId="2C270C0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6.1.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fac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informații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experiență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domeniile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prevăzute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precum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chestiuni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interes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respectând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cerințele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protecția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caracter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personal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informațiilor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acces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restricționat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10530F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7.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Evaluarea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progresului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înțelegeri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suplimentare</w:t>
      </w:r>
      <w:proofErr w:type="spellEnd"/>
    </w:p>
    <w:p w14:paraId="6F359946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7.1.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organizează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pe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cât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posibil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întâlniri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consultări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evalua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progresul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76460F5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7.2.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vederea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pot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încheia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protocoale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documente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inclusiv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constituirea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organisme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respectarea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8C7284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8.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Soluționarea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litigiilor</w:t>
      </w:r>
      <w:proofErr w:type="spellEnd"/>
    </w:p>
    <w:p w14:paraId="0B6174D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8.1.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Divergențele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interpretarea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aplicarea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soluționează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negocieri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consultări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34CBA9A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9.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Durata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modificarea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încetarea</w:t>
      </w:r>
      <w:proofErr w:type="spellEnd"/>
    </w:p>
    <w:p w14:paraId="043948B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lastRenderedPageBreak/>
        <w:t xml:space="preserve">9.1.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vigoare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data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semnării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către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este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valabil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timp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5 (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cinci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) ani.</w:t>
      </w:r>
    </w:p>
    <w:p w14:paraId="24A63E9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cazul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durata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expiră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niciuna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cealaltă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despre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intenția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durata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acestuia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prelungește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automat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următoarea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perioadă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5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ani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18BADDC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înainte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termen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trei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primirea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către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una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unei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notificări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din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celeilalte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intenția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53D9D482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9.4.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afectează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executarea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către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înțelegerilor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nefinalizate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excepția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cazului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convin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altfel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66BA5D2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9.5.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completările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se fac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numai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formalizează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adiționale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constituie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integrantă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completările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efectuează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aceeași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manieră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încheierea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1695CBB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Întocmit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_________ «____» ________ 2026,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două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exemplare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fiecare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limbile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ucraineană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română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0BB5C836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57CE7C15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SEMNĂTURILE PĂRȚILOR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5C4858" w:rsidRPr="005C4858" w14:paraId="5FADD366" w14:textId="77777777" w:rsidTr="00655DEE">
        <w:tc>
          <w:tcPr>
            <w:tcW w:w="4320" w:type="dxa"/>
          </w:tcPr>
          <w:p w14:paraId="277B21E0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Consiliul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Orășenesc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Rohatyn</w:t>
            </w:r>
          </w:p>
        </w:tc>
        <w:tc>
          <w:tcPr>
            <w:tcW w:w="4320" w:type="dxa"/>
          </w:tcPr>
          <w:p w14:paraId="39CF4599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Primăria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satului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Sireți</w:t>
            </w:r>
            <w:proofErr w:type="spellEnd"/>
          </w:p>
        </w:tc>
      </w:tr>
      <w:tr w:rsidR="005C4858" w:rsidRPr="005C4858" w14:paraId="19B1D820" w14:textId="77777777" w:rsidTr="00655DEE">
        <w:tc>
          <w:tcPr>
            <w:tcW w:w="4320" w:type="dxa"/>
          </w:tcPr>
          <w:p w14:paraId="2A93E193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_____________________________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Primar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 xml:space="preserve">Serhii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Nasalyk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L.S.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Data: __</w:t>
            </w:r>
            <w:proofErr w:type="gram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_._</w:t>
            </w:r>
            <w:proofErr w:type="gram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__________.2026</w:t>
            </w:r>
          </w:p>
        </w:tc>
        <w:tc>
          <w:tcPr>
            <w:tcW w:w="4320" w:type="dxa"/>
          </w:tcPr>
          <w:p w14:paraId="06417F00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_____________________________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Primar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 xml:space="preserve">Leonid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Boaghi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L.S.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Data: __</w:t>
            </w:r>
            <w:proofErr w:type="gram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_._</w:t>
            </w:r>
            <w:proofErr w:type="gram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__________.2026</w:t>
            </w:r>
          </w:p>
        </w:tc>
      </w:tr>
    </w:tbl>
    <w:p w14:paraId="56BD1525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1D7691A3" w14:textId="77777777" w:rsidR="005C4858" w:rsidRPr="00BB30D6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C4858" w:rsidRPr="00BB30D6" w:rsidSect="004B2E2C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20BC"/>
    <w:multiLevelType w:val="hybridMultilevel"/>
    <w:tmpl w:val="DC0C758A"/>
    <w:lvl w:ilvl="0" w:tplc="6694C47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214438"/>
    <w:multiLevelType w:val="hybridMultilevel"/>
    <w:tmpl w:val="A30ED91A"/>
    <w:lvl w:ilvl="0" w:tplc="6B7AC448">
      <w:start w:val="1"/>
      <w:numFmt w:val="bullet"/>
      <w:lvlText w:val="‑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70950"/>
    <w:multiLevelType w:val="multilevel"/>
    <w:tmpl w:val="C04A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734F8"/>
    <w:multiLevelType w:val="multilevel"/>
    <w:tmpl w:val="75C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71ACB"/>
    <w:multiLevelType w:val="multilevel"/>
    <w:tmpl w:val="172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63ACA"/>
    <w:multiLevelType w:val="hybridMultilevel"/>
    <w:tmpl w:val="3C90E7A6"/>
    <w:lvl w:ilvl="0" w:tplc="6B7AC448">
      <w:start w:val="1"/>
      <w:numFmt w:val="bullet"/>
      <w:lvlText w:val="‑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77E11"/>
    <w:multiLevelType w:val="hybridMultilevel"/>
    <w:tmpl w:val="3E14E2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34613"/>
    <w:multiLevelType w:val="hybridMultilevel"/>
    <w:tmpl w:val="3F9A5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D21D1"/>
    <w:multiLevelType w:val="hybridMultilevel"/>
    <w:tmpl w:val="E8EEB030"/>
    <w:lvl w:ilvl="0" w:tplc="6B7AC448">
      <w:start w:val="1"/>
      <w:numFmt w:val="bullet"/>
      <w:lvlText w:val="‑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E028FF"/>
    <w:multiLevelType w:val="hybridMultilevel"/>
    <w:tmpl w:val="2BC6981E"/>
    <w:lvl w:ilvl="0" w:tplc="6B5E5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326F8D"/>
    <w:multiLevelType w:val="hybridMultilevel"/>
    <w:tmpl w:val="025E2AC4"/>
    <w:lvl w:ilvl="0" w:tplc="25F0BCD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27043"/>
    <w:multiLevelType w:val="multilevel"/>
    <w:tmpl w:val="36C6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2568A"/>
    <w:multiLevelType w:val="hybridMultilevel"/>
    <w:tmpl w:val="4C0CC8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5969"/>
    <w:multiLevelType w:val="hybridMultilevel"/>
    <w:tmpl w:val="BCFC8E64"/>
    <w:lvl w:ilvl="0" w:tplc="6B7AC448">
      <w:start w:val="1"/>
      <w:numFmt w:val="bullet"/>
      <w:lvlText w:val="‑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20AD0"/>
    <w:multiLevelType w:val="hybridMultilevel"/>
    <w:tmpl w:val="1CE27D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1723"/>
    <w:multiLevelType w:val="hybridMultilevel"/>
    <w:tmpl w:val="B3EA89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5"/>
  </w:num>
  <w:num w:numId="8">
    <w:abstractNumId w:val="14"/>
  </w:num>
  <w:num w:numId="9">
    <w:abstractNumId w:val="6"/>
  </w:num>
  <w:num w:numId="10">
    <w:abstractNumId w:val="9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93"/>
    <w:rsid w:val="00143C33"/>
    <w:rsid w:val="004B2E2C"/>
    <w:rsid w:val="00564C93"/>
    <w:rsid w:val="00586F2F"/>
    <w:rsid w:val="005C4858"/>
    <w:rsid w:val="00667111"/>
    <w:rsid w:val="00676F00"/>
    <w:rsid w:val="006E2F43"/>
    <w:rsid w:val="00985098"/>
    <w:rsid w:val="009A0F95"/>
    <w:rsid w:val="009A5065"/>
    <w:rsid w:val="00BB30D6"/>
    <w:rsid w:val="00D804ED"/>
    <w:rsid w:val="00DE709F"/>
    <w:rsid w:val="00E0685D"/>
    <w:rsid w:val="00E36B93"/>
    <w:rsid w:val="00E51581"/>
    <w:rsid w:val="00E86210"/>
    <w:rsid w:val="00E961DA"/>
    <w:rsid w:val="00F9604B"/>
    <w:rsid w:val="00F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7F76"/>
  <w15:chartTrackingRefBased/>
  <w15:docId w15:val="{CC0ACF15-6598-4C79-8F4C-74023142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BB30D6"/>
    <w:rPr>
      <w:b/>
      <w:bCs/>
    </w:rPr>
  </w:style>
  <w:style w:type="paragraph" w:styleId="a5">
    <w:name w:val="No Spacing"/>
    <w:uiPriority w:val="1"/>
    <w:qFormat/>
    <w:rsid w:val="00BB30D6"/>
    <w:pPr>
      <w:spacing w:after="0" w:line="240" w:lineRule="auto"/>
    </w:pPr>
  </w:style>
  <w:style w:type="paragraph" w:customStyle="1" w:styleId="docdata">
    <w:name w:val="docdata"/>
    <w:aliases w:val="docy,v5,3998,baiaagaaboqcaaad1a0aaaxidqaaaaaaaaaaaaaaaaaaaaaaaaaaaaaaaaaaaaaaaaaaaaaaaaaaaaaaaaaaaaaaaaaaaaaaaaaaaaaaaaaaaaaaaaaaaaaaaaaaaaaaaaaaaaaaaaaaaaaaaaaaaaaaaaaaaaaaaaaaaaaaaaaaaaaaaaaaaaaaaaaaaaaaaaaaaaaaaaaaaaaaaaaaaaaaaaaaaaaaaaaaaaaa"/>
    <w:basedOn w:val="a"/>
    <w:rsid w:val="00DE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DE70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36B93"/>
    <w:rPr>
      <w:rFonts w:ascii="Segoe UI" w:hAnsi="Segoe UI" w:cs="Segoe UI"/>
      <w:sz w:val="18"/>
      <w:szCs w:val="18"/>
      <w:lang w:val="ru-RU"/>
    </w:rPr>
  </w:style>
  <w:style w:type="table" w:customStyle="1" w:styleId="1">
    <w:name w:val="Сітка таблиці1"/>
    <w:basedOn w:val="a1"/>
    <w:next w:val="a9"/>
    <w:uiPriority w:val="59"/>
    <w:rsid w:val="005C485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C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9"/>
    <w:uiPriority w:val="59"/>
    <w:rsid w:val="005C485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B71A5-376B-44D0-B05E-1FB6436A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10115</Words>
  <Characters>5767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МРада</dc:creator>
  <cp:keywords/>
  <dc:description/>
  <cp:lastModifiedBy>МР</cp:lastModifiedBy>
  <cp:revision>3</cp:revision>
  <cp:lastPrinted>2026-02-20T13:04:00Z</cp:lastPrinted>
  <dcterms:created xsi:type="dcterms:W3CDTF">2026-02-20T06:13:00Z</dcterms:created>
  <dcterms:modified xsi:type="dcterms:W3CDTF">2026-02-20T13:04:00Z</dcterms:modified>
</cp:coreProperties>
</file>