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33B90" w14:textId="4F1D4C17" w:rsidR="000E705C" w:rsidRPr="000E705C" w:rsidRDefault="009D7699" w:rsidP="000E705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2D4C8EC" wp14:editId="0D74A652">
            <wp:extent cx="525145" cy="7162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0C8ED" w14:textId="77777777" w:rsidR="000E705C" w:rsidRPr="000E705C" w:rsidRDefault="000E705C" w:rsidP="000E705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E705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498D5C3" w14:textId="77777777" w:rsidR="000E705C" w:rsidRPr="000E705C" w:rsidRDefault="000E705C" w:rsidP="000E705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E705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64D4D05" w14:textId="213DC424" w:rsidR="000E705C" w:rsidRPr="000E705C" w:rsidRDefault="009D7699" w:rsidP="000E705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682D0363" wp14:editId="470EE39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7698E6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E90859F" w14:textId="77777777" w:rsidR="000E705C" w:rsidRPr="000E705C" w:rsidRDefault="000E705C" w:rsidP="000E705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E705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962DF34" w14:textId="77777777" w:rsidR="000E705C" w:rsidRPr="000E705C" w:rsidRDefault="000E705C" w:rsidP="000E705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119C1CE" w14:textId="2415B8E0" w:rsidR="000E705C" w:rsidRPr="000E705C" w:rsidRDefault="000E705C" w:rsidP="000E705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E705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="00FA3812">
        <w:rPr>
          <w:rFonts w:ascii="Times New Roman" w:hAnsi="Times New Roman"/>
          <w:color w:val="000000"/>
          <w:sz w:val="28"/>
          <w:szCs w:val="28"/>
          <w:lang w:eastAsia="uk-UA"/>
        </w:rPr>
        <w:t>11923</w:t>
      </w:r>
      <w:r w:rsidRPr="000E70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70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70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705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0E705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E705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42CD5AD" w14:textId="77777777" w:rsidR="000E705C" w:rsidRPr="000E705C" w:rsidRDefault="000E705C" w:rsidP="000E705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E705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70E1F85" w14:textId="77777777" w:rsidR="00A13B4F" w:rsidRPr="00CB3F93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3DC0AB5" w14:textId="77777777" w:rsidR="0024102F" w:rsidRPr="00CB3F93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B3F9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B938FFB" w14:textId="77777777" w:rsidR="000B6F5A" w:rsidRDefault="00CB3F93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F93">
        <w:rPr>
          <w:rFonts w:ascii="Times New Roman" w:eastAsia="Times New Roman" w:hAnsi="Times New Roman"/>
          <w:sz w:val="28"/>
          <w:szCs w:val="28"/>
          <w:lang w:eastAsia="ru-RU"/>
        </w:rPr>
        <w:t xml:space="preserve">Про затвердження </w:t>
      </w:r>
      <w:r w:rsidR="000B6F5A">
        <w:rPr>
          <w:rFonts w:ascii="Times New Roman" w:eastAsia="Times New Roman" w:hAnsi="Times New Roman"/>
          <w:sz w:val="28"/>
          <w:szCs w:val="28"/>
          <w:lang w:eastAsia="ru-RU"/>
        </w:rPr>
        <w:t>Положення</w:t>
      </w:r>
    </w:p>
    <w:p w14:paraId="07075BF1" w14:textId="77777777" w:rsidR="00CB3F93" w:rsidRDefault="00CB3F93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F93">
        <w:rPr>
          <w:rFonts w:ascii="Times New Roman" w:eastAsia="Times New Roman" w:hAnsi="Times New Roman"/>
          <w:sz w:val="28"/>
          <w:szCs w:val="28"/>
          <w:lang w:eastAsia="ru-RU"/>
        </w:rPr>
        <w:t>про узгоджувальну комісію</w:t>
      </w:r>
    </w:p>
    <w:p w14:paraId="405ED22A" w14:textId="77777777" w:rsidR="000B6F5A" w:rsidRDefault="00CB3F93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F93">
        <w:rPr>
          <w:rFonts w:ascii="Times New Roman" w:eastAsia="Times New Roman" w:hAnsi="Times New Roman"/>
          <w:sz w:val="28"/>
          <w:szCs w:val="28"/>
          <w:lang w:eastAsia="ru-RU"/>
        </w:rPr>
        <w:t>по вирішенню земельних спорів</w:t>
      </w:r>
    </w:p>
    <w:p w14:paraId="10B17625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30E179A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4EAC1E39" w14:textId="77777777" w:rsidR="00CB3F93" w:rsidRPr="00CB3F93" w:rsidRDefault="00CB3F93" w:rsidP="00CB3F93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Відповідно до</w:t>
      </w:r>
      <w:r w:rsidR="009A1F79" w:rsidRPr="00D26277">
        <w:rPr>
          <w:rFonts w:ascii="Times New Roman" w:eastAsia="Times New Roman" w:hAnsi="Times New Roman"/>
          <w:sz w:val="28"/>
          <w:szCs w:val="28"/>
          <w:lang w:eastAsia="uk-UA"/>
        </w:rPr>
        <w:t xml:space="preserve"> ст. 26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 59</w:t>
      </w:r>
      <w:r w:rsidR="009A1F79" w:rsidRPr="00D26277">
        <w:rPr>
          <w:rFonts w:ascii="Times New Roman" w:eastAsia="Times New Roman" w:hAnsi="Times New Roman"/>
          <w:sz w:val="28"/>
          <w:szCs w:val="28"/>
          <w:lang w:eastAsia="uk-UA"/>
        </w:rPr>
        <w:t xml:space="preserve"> Закону України «Про місцеве самоврядування в Україні»,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A1F79" w:rsidRPr="00D26277">
        <w:rPr>
          <w:rFonts w:ascii="Times New Roman" w:eastAsia="Times New Roman" w:hAnsi="Times New Roman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Pr="00CB3F93">
        <w:rPr>
          <w:rFonts w:ascii="Times New Roman" w:eastAsia="Times New Roman" w:hAnsi="Times New Roman"/>
          <w:sz w:val="28"/>
          <w:szCs w:val="28"/>
          <w:lang w:eastAsia="ru-RU"/>
        </w:rPr>
        <w:t xml:space="preserve">12, 158-161 </w:t>
      </w:r>
      <w:r w:rsidR="009A1F79" w:rsidRPr="00D26277">
        <w:rPr>
          <w:rFonts w:ascii="Times New Roman" w:eastAsia="Times New Roman" w:hAnsi="Times New Roman"/>
          <w:sz w:val="28"/>
          <w:szCs w:val="28"/>
          <w:lang w:eastAsia="uk-UA"/>
        </w:rPr>
        <w:t>Земельног</w:t>
      </w:r>
      <w:r w:rsidR="00011B0A" w:rsidRPr="00D26277">
        <w:rPr>
          <w:rFonts w:ascii="Times New Roman" w:eastAsia="Times New Roman" w:hAnsi="Times New Roman"/>
          <w:sz w:val="28"/>
          <w:szCs w:val="28"/>
          <w:lang w:eastAsia="uk-UA"/>
        </w:rPr>
        <w:t>о кодексу України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C60C53" w:rsidRP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>враховуючи пропозиції постійної комісії</w:t>
      </w:r>
      <w:r w:rsidR="00C60C53" w:rsidRPr="00954EEF">
        <w:rPr>
          <w:rFonts w:ascii="Times New Roman" w:eastAsia="Times New Roman" w:hAnsi="Times New Roman"/>
          <w:sz w:val="28"/>
          <w:szCs w:val="28"/>
          <w:lang w:eastAsia="uk-UA"/>
        </w:rPr>
        <w:t xml:space="preserve"> з питань регулювання земельних відносин та раціонального використання природних ресурсів</w:t>
      </w:r>
      <w:r w:rsidR="00011B0A" w:rsidRPr="00D26277">
        <w:rPr>
          <w:rFonts w:ascii="Times New Roman" w:eastAsia="Times New Roman" w:hAnsi="Times New Roman"/>
          <w:sz w:val="28"/>
          <w:szCs w:val="28"/>
          <w:lang w:eastAsia="uk-UA"/>
        </w:rPr>
        <w:t xml:space="preserve">, міська рада </w:t>
      </w:r>
      <w:r w:rsidR="009A1F79" w:rsidRPr="00D26277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14:paraId="3C106227" w14:textId="77777777" w:rsidR="00CB3F93" w:rsidRDefault="00CB3F93" w:rsidP="00CB3F93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Затвердити Положення про узгоджувальну комісію по вирішенню </w:t>
      </w:r>
      <w:r w:rsidR="000B6F5A">
        <w:rPr>
          <w:rFonts w:ascii="Times New Roman" w:eastAsia="Times New Roman" w:hAnsi="Times New Roman"/>
          <w:sz w:val="28"/>
          <w:szCs w:val="28"/>
          <w:lang w:eastAsia="uk-UA"/>
        </w:rPr>
        <w:t>земельних спорів (додаток 1).</w:t>
      </w:r>
    </w:p>
    <w:p w14:paraId="5B923CCC" w14:textId="77777777" w:rsidR="000B6F5A" w:rsidRPr="00CB3F93" w:rsidRDefault="000B6F5A" w:rsidP="00CB3F93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Затвердити склад узгоджувальної комісії по вирішенню земельних спорів (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додаток 2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). </w:t>
      </w:r>
    </w:p>
    <w:p w14:paraId="143334A8" w14:textId="77777777" w:rsidR="00954EEF" w:rsidRPr="00954EEF" w:rsidRDefault="00D04837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B77BCA5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B8CAE7B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F0E626D" w14:textId="77777777" w:rsidR="009E01A5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p w14:paraId="55E2BCD9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673B515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FF6E82E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E3608CC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9FC5D05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189334D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781EA6F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E0B9FE1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F0168CF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41EA085" w14:textId="77777777" w:rsidR="000B6F5A" w:rsidRDefault="000B6F5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600E78F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BC0193C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3950D28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82682D6" w14:textId="77777777" w:rsidR="000B6F5A" w:rsidRPr="000B6F5A" w:rsidRDefault="00CB3F93" w:rsidP="000B6F5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 </w:t>
      </w:r>
    </w:p>
    <w:tbl>
      <w:tblPr>
        <w:tblW w:w="9339" w:type="dxa"/>
        <w:tblInd w:w="300" w:type="dxa"/>
        <w:tblLook w:val="00A0" w:firstRow="1" w:lastRow="0" w:firstColumn="1" w:lastColumn="0" w:noHBand="0" w:noVBand="0"/>
      </w:tblPr>
      <w:tblGrid>
        <w:gridCol w:w="1764"/>
        <w:gridCol w:w="7575"/>
      </w:tblGrid>
      <w:tr w:rsidR="000B6F5A" w:rsidRPr="000B6F5A" w14:paraId="0BE59A1C" w14:textId="77777777" w:rsidTr="00FA3812">
        <w:tc>
          <w:tcPr>
            <w:tcW w:w="4378" w:type="dxa"/>
          </w:tcPr>
          <w:p w14:paraId="08761447" w14:textId="77777777" w:rsidR="000B6F5A" w:rsidRPr="000B6F5A" w:rsidRDefault="000B6F5A" w:rsidP="00B33C31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</w:tcPr>
          <w:p w14:paraId="5C4088F5" w14:textId="5C95DA81" w:rsidR="00FA3812" w:rsidRPr="005D112C" w:rsidRDefault="00FA3812" w:rsidP="00FA3812">
            <w:pPr>
              <w:ind w:left="6372" w:hanging="3160"/>
              <w:rPr>
                <w:rFonts w:ascii="Times New Roman" w:hAnsi="Times New Roman"/>
                <w:sz w:val="28"/>
                <w:szCs w:val="28"/>
              </w:rPr>
            </w:pPr>
            <w:r w:rsidRPr="005D112C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2D2F5D9" w14:textId="77777777" w:rsidR="00FA3812" w:rsidRPr="005D112C" w:rsidRDefault="00FA3812" w:rsidP="00FA3812">
            <w:pPr>
              <w:ind w:left="6372" w:hanging="3160"/>
              <w:rPr>
                <w:rFonts w:ascii="Times New Roman" w:hAnsi="Times New Roman"/>
                <w:sz w:val="28"/>
                <w:szCs w:val="28"/>
              </w:rPr>
            </w:pPr>
            <w:r w:rsidRPr="005D112C">
              <w:rPr>
                <w:rFonts w:ascii="Times New Roman" w:hAnsi="Times New Roman"/>
                <w:sz w:val="28"/>
                <w:szCs w:val="28"/>
              </w:rPr>
              <w:t xml:space="preserve">до рішення 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Pr="005D112C">
              <w:rPr>
                <w:rFonts w:ascii="Times New Roman" w:hAnsi="Times New Roman"/>
                <w:sz w:val="28"/>
                <w:szCs w:val="28"/>
              </w:rPr>
              <w:t xml:space="preserve"> сесії</w:t>
            </w:r>
          </w:p>
          <w:p w14:paraId="622E4D50" w14:textId="77777777" w:rsidR="00FA3812" w:rsidRPr="005D112C" w:rsidRDefault="00FA3812" w:rsidP="00FA3812">
            <w:pPr>
              <w:ind w:left="6372" w:hanging="3160"/>
              <w:rPr>
                <w:rFonts w:ascii="Times New Roman" w:hAnsi="Times New Roman"/>
                <w:sz w:val="28"/>
                <w:szCs w:val="28"/>
              </w:rPr>
            </w:pPr>
            <w:r w:rsidRPr="005D112C">
              <w:rPr>
                <w:rFonts w:ascii="Times New Roman" w:hAnsi="Times New Roman"/>
                <w:sz w:val="28"/>
                <w:szCs w:val="28"/>
              </w:rPr>
              <w:t>Рогатинської міської ради</w:t>
            </w:r>
          </w:p>
          <w:p w14:paraId="2558DAD8" w14:textId="3796768A" w:rsidR="00FA3812" w:rsidRDefault="00FA3812" w:rsidP="00FA3812">
            <w:pPr>
              <w:ind w:left="6372" w:hanging="3160"/>
              <w:rPr>
                <w:rFonts w:ascii="Times New Roman" w:hAnsi="Times New Roman"/>
                <w:sz w:val="28"/>
                <w:szCs w:val="28"/>
              </w:rPr>
            </w:pPr>
            <w:r w:rsidRPr="005D112C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5D11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липня</w:t>
            </w:r>
            <w:r w:rsidRPr="005D112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D112C">
              <w:rPr>
                <w:rFonts w:ascii="Times New Roman" w:hAnsi="Times New Roman"/>
                <w:sz w:val="28"/>
                <w:szCs w:val="28"/>
              </w:rPr>
              <w:t xml:space="preserve"> року № </w:t>
            </w:r>
            <w:r>
              <w:rPr>
                <w:rFonts w:ascii="Times New Roman" w:hAnsi="Times New Roman"/>
                <w:sz w:val="28"/>
                <w:szCs w:val="28"/>
              </w:rPr>
              <w:t>119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14:paraId="49CB00AC" w14:textId="7F257D30" w:rsidR="000B6F5A" w:rsidRPr="000B6F5A" w:rsidRDefault="000B6F5A" w:rsidP="00B33C31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14:paraId="0255CC90" w14:textId="77777777" w:rsidR="000B6F5A" w:rsidRPr="000B6F5A" w:rsidRDefault="000B6F5A" w:rsidP="000B6F5A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3095601E" w14:textId="77777777" w:rsidR="00373FC1" w:rsidRDefault="00373FC1" w:rsidP="00CB3F93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6D953464" w14:textId="77777777" w:rsidR="00CB3F93" w:rsidRPr="00CB3F93" w:rsidRDefault="00CB3F93" w:rsidP="00373FC1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ПОЛОЖЕННЯ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C60C5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 </w:t>
      </w:r>
      <w:r w:rsidRPr="00CB3F9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узгоджувальну комісію по вирішенню земельних спорів</w:t>
      </w:r>
    </w:p>
    <w:p w14:paraId="1007DAD7" w14:textId="77777777" w:rsidR="00CB3F93" w:rsidRDefault="00CB3F93" w:rsidP="00CB3F93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br/>
        <w:t>1. Загальні положення.</w:t>
      </w:r>
    </w:p>
    <w:p w14:paraId="18631CFC" w14:textId="77777777" w:rsidR="00AB4C2A" w:rsidRDefault="00AB4C2A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 </w:t>
      </w:r>
    </w:p>
    <w:p w14:paraId="2D5BAFD6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1.1. Положення про узгоджувальну комісію </w:t>
      </w:r>
      <w:r w:rsidR="00AB4C2A">
        <w:rPr>
          <w:rFonts w:ascii="Times New Roman" w:eastAsia="Times New Roman" w:hAnsi="Times New Roman"/>
          <w:sz w:val="28"/>
          <w:szCs w:val="28"/>
          <w:lang w:eastAsia="uk-UA"/>
        </w:rPr>
        <w:t xml:space="preserve">Рогатинської 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міської ради по вирішенню земельних спорів (надалі – Положення) визначає правові, організаційні засади діяльності (функціонування) узгоджувальної комісії </w:t>
      </w:r>
      <w:r w:rsidR="00FB3098">
        <w:rPr>
          <w:rFonts w:ascii="Times New Roman" w:eastAsia="Times New Roman" w:hAnsi="Times New Roman"/>
          <w:sz w:val="28"/>
          <w:szCs w:val="28"/>
          <w:lang w:eastAsia="uk-UA"/>
        </w:rPr>
        <w:t>Рогатинськ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ої міської ради по розгляду земельних спорів (надалі – узгоджувальна комісія), її функції і завдання в галузі регулювання земельних відносин.</w:t>
      </w:r>
    </w:p>
    <w:p w14:paraId="317578BD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1.2. Положення та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 зміни до нього затверджується 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рішенням сесії </w:t>
      </w:r>
      <w:r w:rsidR="00FB3098">
        <w:rPr>
          <w:rFonts w:ascii="Times New Roman" w:eastAsia="Times New Roman" w:hAnsi="Times New Roman"/>
          <w:sz w:val="28"/>
          <w:szCs w:val="28"/>
          <w:lang w:eastAsia="uk-UA"/>
        </w:rPr>
        <w:t>Рогатинськ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ої міської ради.</w:t>
      </w:r>
    </w:p>
    <w:p w14:paraId="02A5B5E4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1.3. Узгоджувальна комісія – орган ради, утворений </w:t>
      </w:r>
      <w:r w:rsidR="00FB3098">
        <w:rPr>
          <w:rFonts w:ascii="Times New Roman" w:eastAsia="Times New Roman" w:hAnsi="Times New Roman"/>
          <w:sz w:val="28"/>
          <w:szCs w:val="28"/>
          <w:lang w:eastAsia="uk-UA"/>
        </w:rPr>
        <w:t>Рогатинськ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ою міською радою для вирішення з</w:t>
      </w:r>
      <w:r w:rsidR="000B6F5A">
        <w:rPr>
          <w:rFonts w:ascii="Times New Roman" w:eastAsia="Times New Roman" w:hAnsi="Times New Roman"/>
          <w:sz w:val="28"/>
          <w:szCs w:val="28"/>
          <w:lang w:eastAsia="uk-UA"/>
        </w:rPr>
        <w:t xml:space="preserve">емельних спорів </w:t>
      </w:r>
      <w:r w:rsidR="00C60C53" w:rsidRP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у межах території </w:t>
      </w:r>
      <w:r w:rsidR="00FB3098">
        <w:rPr>
          <w:rFonts w:ascii="Times New Roman" w:eastAsia="Times New Roman" w:hAnsi="Times New Roman"/>
          <w:sz w:val="28"/>
          <w:szCs w:val="28"/>
          <w:lang w:eastAsia="uk-UA"/>
        </w:rPr>
        <w:t>Рогатинськ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ої міської територіальної громади</w:t>
      </w:r>
      <w:r w:rsidR="00031089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Івано-Франківського району Івано-Франківської області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2A3FAD64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1.4. Кількісний та персональни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й склад узгоджувальної комісії 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та зміни до нього затверд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>жується рішенням сесії міської 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ради.</w:t>
      </w:r>
    </w:p>
    <w:p w14:paraId="67EBACB2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1.5. У сво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їй роботі узгоджувальна комісія 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керується наступними</w:t>
      </w:r>
      <w:r w:rsidR="000B6F5A">
        <w:rPr>
          <w:rFonts w:ascii="Times New Roman" w:eastAsia="Times New Roman" w:hAnsi="Times New Roman"/>
          <w:sz w:val="28"/>
          <w:szCs w:val="28"/>
          <w:lang w:eastAsia="uk-UA"/>
        </w:rPr>
        <w:t xml:space="preserve"> нормативно – правовими актами: 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Конституцією України, 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Земельним кодексом України, Цивільним кодексом України, Законами України: «Про оренду землі», «Про землеустрій», «Про місцеве самоврядування в Україні», «Про Державний земельний кадастр», «Про дозвільну систему у сфері господарської діяльності», «Про державну реєстрацію речових прав на нерухоме майно та їх обтяжень», «Про внесення змін до деяких законодавчих актів України щодо розмежування земель державної та комунальної власності», іншим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 нормативно-правовими актами.</w:t>
      </w:r>
    </w:p>
    <w:p w14:paraId="574D1190" w14:textId="77777777" w:rsidR="00CB3F93" w:rsidRDefault="00CB3F93" w:rsidP="00AB4C2A">
      <w:pPr>
        <w:shd w:val="clear" w:color="auto" w:fill="FFFFFF"/>
        <w:ind w:firstLine="567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br/>
        <w:t>2. Основні завдання та компетенція</w:t>
      </w:r>
    </w:p>
    <w:p w14:paraId="42A7A68A" w14:textId="77777777" w:rsidR="00AB4C2A" w:rsidRDefault="00AB4C2A" w:rsidP="00AB4C2A">
      <w:pPr>
        <w:shd w:val="clear" w:color="auto" w:fill="FFFFFF"/>
        <w:ind w:firstLine="567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4ACE52F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2.1. Узгоджувальна комісія розглядає спори щодо меж земельних ділянок, що перебувають </w:t>
      </w:r>
      <w:r w:rsidR="00031089" w:rsidRPr="00031089">
        <w:rPr>
          <w:rFonts w:ascii="Times New Roman" w:eastAsia="Times New Roman" w:hAnsi="Times New Roman"/>
          <w:sz w:val="28"/>
          <w:szCs w:val="28"/>
          <w:lang w:eastAsia="uk-UA"/>
        </w:rPr>
        <w:t>у власності і користуванні громадян, обмежень у використанні земель та земельних сервітутів, додержання громадянами правил добросусідства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 (надалі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– земельні спори).</w:t>
      </w:r>
    </w:p>
    <w:p w14:paraId="67E108E0" w14:textId="77777777" w:rsidR="00AB4C2A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2.2. Рішення узгоджувальної комісії оформляється протоколом та має рекомендаційний характер і затверджується ріш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енням міської ради.</w:t>
      </w:r>
    </w:p>
    <w:p w14:paraId="3F1E5A2F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2.3. Для вирішення земельних спорів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комісія має право:</w:t>
      </w:r>
    </w:p>
    <w:p w14:paraId="0A768AA1" w14:textId="77777777" w:rsidR="00CB3F93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- направляти запити юридичним особам щодо надання інформації, матеріалів, висновків, що стосуються розгляд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 земельного спору;</w:t>
      </w:r>
    </w:p>
    <w:p w14:paraId="00B0F5E5" w14:textId="77777777" w:rsidR="00AB4C2A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- надавати рекомендації та пропозиції з метою вирішен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ня земельного спору;</w:t>
      </w:r>
    </w:p>
    <w:p w14:paraId="1FD5F689" w14:textId="77777777" w:rsidR="00CB3F93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- для розгляду земельного спору залучати експертів, фахівців, спеціалістів інших органів влади, підприємств, організацій та установ за погодженням з їхнім керівництвом.</w:t>
      </w:r>
    </w:p>
    <w:p w14:paraId="6E5F9CEA" w14:textId="77777777" w:rsidR="00CB3F93" w:rsidRDefault="00CB3F93" w:rsidP="00AB4C2A">
      <w:pPr>
        <w:shd w:val="clear" w:color="auto" w:fill="FFFFFF"/>
        <w:ind w:firstLine="567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br/>
        <w:t>3. Порядок роботи</w:t>
      </w:r>
    </w:p>
    <w:p w14:paraId="6513BCB9" w14:textId="77777777" w:rsidR="00AB4C2A" w:rsidRDefault="00AB4C2A" w:rsidP="00AB4C2A">
      <w:pPr>
        <w:shd w:val="clear" w:color="auto" w:fill="FFFFFF"/>
        <w:ind w:firstLine="567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13BE33E" w14:textId="77777777" w:rsidR="00CB3F93" w:rsidRDefault="00AB4C2A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="00CB3F93" w:rsidRPr="00CB3F93">
        <w:rPr>
          <w:rFonts w:ascii="Times New Roman" w:eastAsia="Times New Roman" w:hAnsi="Times New Roman"/>
          <w:sz w:val="28"/>
          <w:szCs w:val="28"/>
          <w:lang w:eastAsia="uk-UA"/>
        </w:rPr>
        <w:t>3.1. Скликання узгоджувальної комісії, організацію роботи, підготовку і внесення матеріалів для розгляду земельного спору на засіданні узгоджувальної комісії здійснює секретар узгоджувальної комісії.</w:t>
      </w:r>
    </w:p>
    <w:p w14:paraId="318999CA" w14:textId="77777777" w:rsidR="000B6F5A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3.2. Розгляд земельних спорів на засіданні узгоджувальної комісії проводиться на підставі заяви однієї із сторін у строк, передбачений чинним законодавством. До заяви подаються наступні документи:</w:t>
      </w:r>
    </w:p>
    <w:p w14:paraId="06DDB32D" w14:textId="77777777" w:rsidR="000B6F5A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r w:rsidR="00BB7F3E">
        <w:rPr>
          <w:rFonts w:ascii="Times New Roman" w:eastAsia="Times New Roman" w:hAnsi="Times New Roman"/>
          <w:sz w:val="28"/>
          <w:szCs w:val="28"/>
          <w:lang w:eastAsia="uk-UA"/>
        </w:rPr>
        <w:t xml:space="preserve">копію 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документ</w:t>
      </w:r>
      <w:r w:rsidR="00BB7F3E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, що посвідчує особу;</w:t>
      </w:r>
    </w:p>
    <w:p w14:paraId="022F8232" w14:textId="77777777" w:rsidR="000B6F5A" w:rsidRDefault="00A91BC6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- копії документів, що засвідчують право на земельну ділянку та нерухоме майно, яке знаходиться на ній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(в разі наявності)</w:t>
      </w:r>
      <w:r w:rsidR="00CB3F93" w:rsidRPr="00CB3F93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14:paraId="73A25828" w14:textId="77777777" w:rsidR="00031089" w:rsidRDefault="00031089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r w:rsidR="00A91BC6">
        <w:rPr>
          <w:rFonts w:ascii="Times New Roman" w:eastAsia="Times New Roman" w:hAnsi="Times New Roman"/>
          <w:sz w:val="28"/>
          <w:szCs w:val="28"/>
          <w:lang w:eastAsia="uk-UA"/>
        </w:rPr>
        <w:t xml:space="preserve">копію 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д</w:t>
      </w:r>
      <w:r w:rsidR="00A91BC6">
        <w:rPr>
          <w:rFonts w:ascii="Times New Roman" w:eastAsia="Times New Roman" w:hAnsi="Times New Roman"/>
          <w:sz w:val="28"/>
          <w:szCs w:val="28"/>
          <w:lang w:eastAsia="uk-UA"/>
        </w:rPr>
        <w:t>окументації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(в разі наявності)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14:paraId="361CE5E1" w14:textId="77777777" w:rsidR="000B6F5A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- графічні матеріали (план спірних земельних ділянок з підтвердженням відсутності «накладки» на суміжні земельні ділянки, виготовлених ліцензованою проектною землевпорядною організацією; копія довідки з містобудівного кадастру, архівний план земельної ділянки з бюро технічної інвентаризації (в разі наявності), тощо);</w:t>
      </w:r>
    </w:p>
    <w:p w14:paraId="0DABB026" w14:textId="77777777" w:rsidR="000B6F5A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- копії прийнятих рішень виконавчого комітету або міської ради, а також су</w:t>
      </w:r>
      <w:r w:rsidR="00A91BC6">
        <w:rPr>
          <w:rFonts w:ascii="Times New Roman" w:eastAsia="Times New Roman" w:hAnsi="Times New Roman"/>
          <w:sz w:val="28"/>
          <w:szCs w:val="28"/>
          <w:lang w:eastAsia="uk-UA"/>
        </w:rPr>
        <w:t>дових рішень (в разі наявності)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0E915941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Комісія має право отримувати додаткові документи.</w:t>
      </w:r>
    </w:p>
    <w:p w14:paraId="7919D5F8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3.3. Комісія зобов’язана залучати до участі у розгляді земельних спорів </w:t>
      </w:r>
      <w:proofErr w:type="spellStart"/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старост</w:t>
      </w:r>
      <w:proofErr w:type="spellEnd"/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старостинських</w:t>
      </w:r>
      <w:proofErr w:type="spellEnd"/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 округів</w:t>
      </w:r>
      <w:r w:rsidR="00A91BC6" w:rsidRPr="00A91BC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91BC6">
        <w:rPr>
          <w:rFonts w:ascii="Times New Roman" w:eastAsia="Times New Roman" w:hAnsi="Times New Roman"/>
          <w:sz w:val="28"/>
          <w:szCs w:val="28"/>
          <w:lang w:eastAsia="uk-UA"/>
        </w:rPr>
        <w:t xml:space="preserve">тих </w:t>
      </w:r>
      <w:r w:rsidR="00A91BC6" w:rsidRPr="00CB3F93">
        <w:rPr>
          <w:rFonts w:ascii="Times New Roman" w:eastAsia="Times New Roman" w:hAnsi="Times New Roman"/>
          <w:sz w:val="28"/>
          <w:szCs w:val="28"/>
          <w:lang w:eastAsia="uk-UA"/>
        </w:rPr>
        <w:t>сіл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, в яких виник спір.</w:t>
      </w:r>
    </w:p>
    <w:p w14:paraId="6F32969C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3.4. Секретар узгоджувальної комісії:</w:t>
      </w:r>
    </w:p>
    <w:p w14:paraId="02C8C0E8" w14:textId="77777777" w:rsidR="00C60C53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- проводить прийом фізичних, юридичних осіб і надає консультації;</w:t>
      </w:r>
    </w:p>
    <w:p w14:paraId="6A9D3CDA" w14:textId="77777777" w:rsidR="00AB4C2A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- готує документи, необхідні для розгляду земельного спору;</w:t>
      </w:r>
    </w:p>
    <w:p w14:paraId="2D34565C" w14:textId="77777777" w:rsidR="00CB3F93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- визначає, чи належить до компетенції узгоджувальної комісії розгляд питання, зазначеного у зверненні, та чи в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повному обсязі подано документи;</w:t>
      </w:r>
    </w:p>
    <w:p w14:paraId="4BE1C5C3" w14:textId="77777777" w:rsidR="00CB3F93" w:rsidRDefault="00C60C5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r w:rsidR="00CB3F93" w:rsidRPr="00CB3F93">
        <w:rPr>
          <w:rFonts w:ascii="Times New Roman" w:eastAsia="Times New Roman" w:hAnsi="Times New Roman"/>
          <w:sz w:val="28"/>
          <w:szCs w:val="28"/>
          <w:lang w:eastAsia="uk-UA"/>
        </w:rPr>
        <w:t>разі необхідності, інформує щодо надання додаткових документів;</w:t>
      </w:r>
    </w:p>
    <w:p w14:paraId="2F6CA87A" w14:textId="77777777" w:rsidR="00CB3F93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- завчасно повідомляє всі сп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>ірні сторони та членів комісії 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про дату, час і місце розгляду земельного спору;</w:t>
      </w:r>
    </w:p>
    <w:p w14:paraId="7688139A" w14:textId="77777777" w:rsidR="00CB3F93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- готує протоколи засідань узгоджувальної комісії, погоджує протоколи з усіма членами узгоджувальної комісії, а також головуючим (головою комісії або заступником), які були присутні на засіданні;</w:t>
      </w:r>
    </w:p>
    <w:p w14:paraId="5D64FF7E" w14:textId="77777777" w:rsidR="00CB3F93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- готує витяги з протоколів узгоджувальної комісії, підписує їх особисто та видає сторонам, які брали участь у земельному спорі.</w:t>
      </w:r>
    </w:p>
    <w:p w14:paraId="06AA6B0E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3.5. Засідання узгоджувальної комісії проводиться, якщо в ньому бере участь не менше 2/3 її складу. Рішення комісії за результатом розгляду земельного спору приймається більшістю голосів від загального складу комісії і заноситься до протоколу засідання.</w:t>
      </w:r>
    </w:p>
    <w:p w14:paraId="52D9A93D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3.6. Протоколи узгоджувальної комісії готуються у двох примірниках і підписуються головою, секретарем та присутніми членами Комісії.</w:t>
      </w:r>
    </w:p>
    <w:p w14:paraId="033E68FF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3.7. Рішення органу місцевого самоврядування про затвердження протоколів узгоджувальної комісії передається сторонам у </w:t>
      </w:r>
      <w:r w:rsidR="000B6F5A">
        <w:rPr>
          <w:rFonts w:ascii="Times New Roman" w:eastAsia="Times New Roman" w:hAnsi="Times New Roman"/>
          <w:sz w:val="28"/>
          <w:szCs w:val="28"/>
          <w:lang w:eastAsia="uk-UA"/>
        </w:rPr>
        <w:t xml:space="preserve">десятиденний строк 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з дня його прийняття.</w:t>
      </w:r>
    </w:p>
    <w:p w14:paraId="0C4EBE54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" w:name="n1597"/>
      <w:bookmarkEnd w:id="1"/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3.8. Протоколи, витяги з протоколів та первинні матеріали зберігаються 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>в у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становленому порядку 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у відділі земельних ресурсів </w:t>
      </w:r>
      <w:r w:rsidR="00FB3098">
        <w:rPr>
          <w:rFonts w:ascii="Times New Roman" w:eastAsia="Times New Roman" w:hAnsi="Times New Roman"/>
          <w:sz w:val="28"/>
          <w:szCs w:val="28"/>
          <w:lang w:eastAsia="uk-UA"/>
        </w:rPr>
        <w:t>Рогатинськ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ої міської ради.</w:t>
      </w:r>
    </w:p>
    <w:p w14:paraId="43E85F21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3.9. Рішення органу місцевого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щодо земельних 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спорів вступає в силу з моменту його прийняття. Оскарження зазначених рішень у суді призупиняє їх виконання. У прийнятому рішенні визнач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ається порядок його виконання.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br/>
      </w:r>
    </w:p>
    <w:p w14:paraId="449651D1" w14:textId="77777777" w:rsidR="00CB3F93" w:rsidRDefault="00A91BC6" w:rsidP="00AB4C2A">
      <w:pPr>
        <w:shd w:val="clear" w:color="auto" w:fill="FFFFFF"/>
        <w:ind w:firstLine="567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4. Права і обов’</w:t>
      </w:r>
      <w:r w:rsidR="00CB3F93" w:rsidRPr="00CB3F93">
        <w:rPr>
          <w:rFonts w:ascii="Times New Roman" w:eastAsia="Times New Roman" w:hAnsi="Times New Roman"/>
          <w:sz w:val="28"/>
          <w:szCs w:val="28"/>
          <w:lang w:eastAsia="uk-UA"/>
        </w:rPr>
        <w:t>язки сторін при розгляді земельних спорів</w:t>
      </w:r>
    </w:p>
    <w:p w14:paraId="55CD8B80" w14:textId="77777777" w:rsidR="00AB4C2A" w:rsidRDefault="00AB4C2A" w:rsidP="00AB4C2A">
      <w:pPr>
        <w:shd w:val="clear" w:color="auto" w:fill="FFFFFF"/>
        <w:ind w:firstLine="567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96D9FC4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bookmarkStart w:id="2" w:name="n1594"/>
      <w:bookmarkEnd w:id="2"/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4.1. Сторони, які беруть участь у земельному спорі, мають право знайомитися з матеріалами щодо цього спору, робити з них виписки, брати участь у розгляді земельного спору, подавати документи та інші докази, порушувати клопотання, давати усні і письмові пояснення, заперечувати проти клопотань та доказів іншої сторони, одержувати копі</w:t>
      </w:r>
      <w:r w:rsidR="00A91BC6">
        <w:rPr>
          <w:rFonts w:ascii="Times New Roman" w:eastAsia="Times New Roman" w:hAnsi="Times New Roman"/>
          <w:sz w:val="28"/>
          <w:szCs w:val="28"/>
          <w:lang w:eastAsia="uk-UA"/>
        </w:rPr>
        <w:t>ю рішення щодо земельного спору та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, у разі незгоди з цим рішенням, оскаржувати його.</w:t>
      </w:r>
    </w:p>
    <w:p w14:paraId="0D96FC1F" w14:textId="77777777" w:rsidR="00CB3F93" w:rsidRDefault="00CB3F93" w:rsidP="00C60C53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4.2. Земельні спори розглядаються за участю зацікавлених сторін, які повинні бути завчасно повідомлені про час і місце розгляду спору. У разі відсутності однієї із сторін при першому вирішенні питання і відсутності офіційної згоди на розгляд питан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ня, розгляд спору переноситься. 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Повторне відкладання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 розгляду спору може мати місце лише з 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поважних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 п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ричин.</w:t>
      </w:r>
      <w:bookmarkStart w:id="3" w:name="n1588"/>
      <w:bookmarkEnd w:id="3"/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 Відсутність однієї із сторін без поважних причин при повторному розгляді земельного спору не зупиняє його розгляд і прийняття рішення.</w:t>
      </w:r>
    </w:p>
    <w:p w14:paraId="7452E389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4.3. У разі незгоди власників землі або землекористувачів з рішеннями узгоджувальної комісії або міської ради, спір вирішується 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>у судовому порядку.</w:t>
      </w:r>
    </w:p>
    <w:p w14:paraId="2AEFFA67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 </w:t>
      </w:r>
    </w:p>
    <w:p w14:paraId="5366102B" w14:textId="77777777" w:rsidR="00CB3F93" w:rsidRDefault="00CB3F93" w:rsidP="00AB4C2A">
      <w:pPr>
        <w:shd w:val="clear" w:color="auto" w:fill="FFFFFF"/>
        <w:ind w:firstLine="567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5. Склад узгоджувальної комісії</w:t>
      </w:r>
    </w:p>
    <w:p w14:paraId="0D8717CB" w14:textId="77777777" w:rsidR="00A91BC6" w:rsidRDefault="00A91BC6" w:rsidP="00AB4C2A">
      <w:pPr>
        <w:shd w:val="clear" w:color="auto" w:fill="FFFFFF"/>
        <w:ind w:firstLine="567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2A875E1" w14:textId="77777777" w:rsidR="00AB4C2A" w:rsidRDefault="00AB4C2A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>5.1. Склад </w:t>
      </w:r>
      <w:r w:rsidR="00CB3F93" w:rsidRPr="00CB3F93">
        <w:rPr>
          <w:rFonts w:ascii="Times New Roman" w:eastAsia="Times New Roman" w:hAnsi="Times New Roman"/>
          <w:sz w:val="28"/>
          <w:szCs w:val="28"/>
          <w:lang w:eastAsia="uk-UA"/>
        </w:rPr>
        <w:t>комісії визначається у порядку, встановл</w:t>
      </w:r>
      <w:r w:rsidR="00A91BC6">
        <w:rPr>
          <w:rFonts w:ascii="Times New Roman" w:eastAsia="Times New Roman" w:hAnsi="Times New Roman"/>
          <w:sz w:val="28"/>
          <w:szCs w:val="28"/>
          <w:lang w:eastAsia="uk-UA"/>
        </w:rPr>
        <w:t>еному п. 1.4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даного Положення.</w:t>
      </w:r>
    </w:p>
    <w:p w14:paraId="63BEF5E1" w14:textId="77777777" w:rsidR="00CB3F93" w:rsidRP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5.2. Керівництво діяльністю узгоджувальної комісії здійснює голова комісії, а в разі його відсутності – заступник.</w:t>
      </w:r>
    </w:p>
    <w:p w14:paraId="2FEB9AF8" w14:textId="77777777" w:rsidR="00CB3F93" w:rsidRPr="00CB3F93" w:rsidRDefault="00CB3F93" w:rsidP="00CB3F9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A4FAF3" w14:textId="77777777" w:rsidR="00AB4C2A" w:rsidRDefault="00AB4C2A" w:rsidP="00AB4C2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03C3AD4" w14:textId="77777777" w:rsidR="00AB4C2A" w:rsidRPr="00AB4C2A" w:rsidRDefault="00AB4C2A" w:rsidP="00AB4C2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AB4C2A"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міської ради </w:t>
      </w:r>
      <w:r w:rsidRPr="00AB4C2A">
        <w:rPr>
          <w:rFonts w:ascii="Times New Roman" w:eastAsia="Times New Roman" w:hAnsi="Times New Roman"/>
          <w:sz w:val="28"/>
          <w:szCs w:val="28"/>
          <w:lang w:eastAsia="uk-UA"/>
        </w:rPr>
        <w:tab/>
        <w:t>Христина СОРОКА</w:t>
      </w:r>
    </w:p>
    <w:p w14:paraId="01A9CF48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A819EB9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9B30770" w14:textId="77777777" w:rsidR="00031089" w:rsidRDefault="00031089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43105AA" w14:textId="224E5138" w:rsidR="000B6F5A" w:rsidRDefault="000B6F5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18E96F4" w14:textId="4641DEAA" w:rsidR="00FA3812" w:rsidRDefault="00FA381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807F94C" w14:textId="77777777" w:rsidR="00FA3812" w:rsidRDefault="00FA381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1763"/>
        <w:gridCol w:w="7575"/>
      </w:tblGrid>
      <w:tr w:rsidR="000B6F5A" w:rsidRPr="000B6F5A" w14:paraId="109134C3" w14:textId="77777777" w:rsidTr="00FA3812">
        <w:tc>
          <w:tcPr>
            <w:tcW w:w="4520" w:type="dxa"/>
          </w:tcPr>
          <w:p w14:paraId="57B32A84" w14:textId="77777777" w:rsidR="000B6F5A" w:rsidRPr="000B6F5A" w:rsidRDefault="000B6F5A" w:rsidP="00B33C31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728" w:type="dxa"/>
          </w:tcPr>
          <w:p w14:paraId="6EBCD66F" w14:textId="7BEC7D06" w:rsidR="00FA3812" w:rsidRPr="005D112C" w:rsidRDefault="00FA3812" w:rsidP="00FA3812">
            <w:pPr>
              <w:ind w:left="6372" w:hanging="3018"/>
              <w:rPr>
                <w:rFonts w:ascii="Times New Roman" w:hAnsi="Times New Roman"/>
                <w:sz w:val="28"/>
                <w:szCs w:val="28"/>
              </w:rPr>
            </w:pPr>
            <w:r w:rsidRPr="005D112C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5D7B439A" w14:textId="77777777" w:rsidR="00FA3812" w:rsidRPr="005D112C" w:rsidRDefault="00FA3812" w:rsidP="00FA3812">
            <w:pPr>
              <w:ind w:left="6372" w:hanging="3018"/>
              <w:rPr>
                <w:rFonts w:ascii="Times New Roman" w:hAnsi="Times New Roman"/>
                <w:sz w:val="28"/>
                <w:szCs w:val="28"/>
              </w:rPr>
            </w:pPr>
            <w:r w:rsidRPr="005D112C">
              <w:rPr>
                <w:rFonts w:ascii="Times New Roman" w:hAnsi="Times New Roman"/>
                <w:sz w:val="28"/>
                <w:szCs w:val="28"/>
              </w:rPr>
              <w:t xml:space="preserve">до рішення 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Pr="005D112C">
              <w:rPr>
                <w:rFonts w:ascii="Times New Roman" w:hAnsi="Times New Roman"/>
                <w:sz w:val="28"/>
                <w:szCs w:val="28"/>
              </w:rPr>
              <w:t xml:space="preserve"> сесії</w:t>
            </w:r>
          </w:p>
          <w:p w14:paraId="5CDD5EB5" w14:textId="77777777" w:rsidR="00FA3812" w:rsidRPr="005D112C" w:rsidRDefault="00FA3812" w:rsidP="00FA3812">
            <w:pPr>
              <w:ind w:left="6372" w:hanging="3018"/>
              <w:rPr>
                <w:rFonts w:ascii="Times New Roman" w:hAnsi="Times New Roman"/>
                <w:sz w:val="28"/>
                <w:szCs w:val="28"/>
              </w:rPr>
            </w:pPr>
            <w:r w:rsidRPr="005D112C">
              <w:rPr>
                <w:rFonts w:ascii="Times New Roman" w:hAnsi="Times New Roman"/>
                <w:sz w:val="28"/>
                <w:szCs w:val="28"/>
              </w:rPr>
              <w:t>Рогатинської міської ради</w:t>
            </w:r>
          </w:p>
          <w:p w14:paraId="338737F2" w14:textId="06A5AEA8" w:rsidR="00FA3812" w:rsidRDefault="00FA3812" w:rsidP="00FA3812">
            <w:pPr>
              <w:ind w:left="6372" w:hanging="3018"/>
              <w:rPr>
                <w:rFonts w:ascii="Times New Roman" w:hAnsi="Times New Roman"/>
                <w:sz w:val="28"/>
                <w:szCs w:val="28"/>
              </w:rPr>
            </w:pPr>
            <w:r w:rsidRPr="005D112C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5D11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липня</w:t>
            </w:r>
            <w:r w:rsidRPr="005D112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D112C">
              <w:rPr>
                <w:rFonts w:ascii="Times New Roman" w:hAnsi="Times New Roman"/>
                <w:sz w:val="28"/>
                <w:szCs w:val="28"/>
              </w:rPr>
              <w:t xml:space="preserve"> року № </w:t>
            </w:r>
            <w:r>
              <w:rPr>
                <w:rFonts w:ascii="Times New Roman" w:hAnsi="Times New Roman"/>
                <w:sz w:val="28"/>
                <w:szCs w:val="28"/>
              </w:rPr>
              <w:t>119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14:paraId="5BEC3A9B" w14:textId="159420D9" w:rsidR="000B6F5A" w:rsidRPr="000B6F5A" w:rsidRDefault="000B6F5A" w:rsidP="00B33C31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14:paraId="4B43C1E2" w14:textId="77777777" w:rsidR="00373FC1" w:rsidRDefault="00373FC1" w:rsidP="00CC4596">
      <w:pPr>
        <w:shd w:val="clear" w:color="auto" w:fill="FFFFFF"/>
        <w:ind w:left="57" w:right="5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Склад</w:t>
      </w:r>
    </w:p>
    <w:p w14:paraId="0171CAAE" w14:textId="77777777" w:rsidR="00920F1F" w:rsidRPr="00920F1F" w:rsidRDefault="000B6F5A" w:rsidP="00CC4596">
      <w:pPr>
        <w:shd w:val="clear" w:color="auto" w:fill="FFFFFF"/>
        <w:ind w:left="57" w:right="57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73FC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узгоджувальної комісії</w:t>
      </w:r>
      <w:r w:rsidR="00373FC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Pr="00CB3F93">
        <w:rPr>
          <w:rFonts w:ascii="Times New Roman" w:eastAsia="Times New Roman" w:hAnsi="Times New Roman"/>
          <w:b/>
          <w:sz w:val="28"/>
          <w:szCs w:val="28"/>
          <w:lang w:eastAsia="uk-UA"/>
        </w:rPr>
        <w:t>по вирішенню земельних спорів</w:t>
      </w:r>
      <w:r w:rsidRPr="00CB3F93">
        <w:rPr>
          <w:rFonts w:ascii="Times New Roman" w:eastAsia="Times New Roman" w:hAnsi="Times New Roman"/>
          <w:b/>
          <w:sz w:val="28"/>
          <w:szCs w:val="28"/>
          <w:lang w:eastAsia="uk-UA"/>
        </w:rPr>
        <w:br/>
        <w:t> </w:t>
      </w:r>
    </w:p>
    <w:tbl>
      <w:tblPr>
        <w:tblW w:w="9103" w:type="dxa"/>
        <w:tblLook w:val="04A0" w:firstRow="1" w:lastRow="0" w:firstColumn="1" w:lastColumn="0" w:noHBand="0" w:noVBand="1"/>
      </w:tblPr>
      <w:tblGrid>
        <w:gridCol w:w="2821"/>
        <w:gridCol w:w="6282"/>
      </w:tblGrid>
      <w:tr w:rsidR="009F7395" w:rsidRPr="00920F1F" w14:paraId="19AF2F51" w14:textId="77777777" w:rsidTr="009F7395">
        <w:trPr>
          <w:trHeight w:val="1534"/>
        </w:trPr>
        <w:tc>
          <w:tcPr>
            <w:tcW w:w="2821" w:type="dxa"/>
            <w:shd w:val="clear" w:color="auto" w:fill="auto"/>
          </w:tcPr>
          <w:p w14:paraId="057924F2" w14:textId="77777777" w:rsidR="00920F1F" w:rsidRPr="009F7395" w:rsidRDefault="00920F1F" w:rsidP="009F7395">
            <w:pPr>
              <w:ind w:right="57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Голова комісії:</w:t>
            </w:r>
          </w:p>
          <w:p w14:paraId="138B0014" w14:textId="77777777" w:rsidR="00920F1F" w:rsidRPr="009F7395" w:rsidRDefault="00920F1F" w:rsidP="009F7395">
            <w:pPr>
              <w:ind w:left="57" w:right="57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568ECC06" w14:textId="77777777" w:rsidR="00373FC1" w:rsidRPr="009F7395" w:rsidRDefault="00373FC1" w:rsidP="009F7395">
            <w:pPr>
              <w:ind w:right="57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3F35EB10" w14:textId="77777777" w:rsidR="00920F1F" w:rsidRPr="00920F1F" w:rsidRDefault="00920F1F" w:rsidP="009F7395">
            <w:pPr>
              <w:ind w:right="57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F7395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Заступник голови</w:t>
            </w:r>
            <w:r w:rsidRPr="00920F1F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комісії:</w:t>
            </w:r>
          </w:p>
        </w:tc>
        <w:tc>
          <w:tcPr>
            <w:tcW w:w="6282" w:type="dxa"/>
            <w:shd w:val="clear" w:color="auto" w:fill="auto"/>
          </w:tcPr>
          <w:p w14:paraId="12878B8C" w14:textId="77777777" w:rsidR="00920F1F" w:rsidRPr="00920F1F" w:rsidRDefault="00B02E5D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F739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Штогрин Володимир Васильович</w:t>
            </w:r>
            <w:r w:rsidR="00920F1F"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, </w:t>
            </w:r>
          </w:p>
          <w:p w14:paraId="75013F51" w14:textId="77777777" w:rsidR="00920F1F" w:rsidRPr="009F7395" w:rsidRDefault="00920F1F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заступник міського голови</w:t>
            </w:r>
          </w:p>
          <w:p w14:paraId="4BE6EEE0" w14:textId="77777777" w:rsidR="00920F1F" w:rsidRPr="009F7395" w:rsidRDefault="00920F1F" w:rsidP="009F7395">
            <w:pPr>
              <w:ind w:left="298" w:right="57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uk-UA"/>
              </w:rPr>
            </w:pPr>
          </w:p>
          <w:p w14:paraId="7566E94E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Нитчин Роман Степанович,</w:t>
            </w:r>
          </w:p>
          <w:p w14:paraId="08113EB0" w14:textId="77777777" w:rsidR="00373FC1" w:rsidRPr="009F7395" w:rsidRDefault="00920F1F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начал</w:t>
            </w:r>
            <w:r w:rsidR="00373FC1" w:rsidRPr="009F739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ьник відділу земельних ресурсів</w:t>
            </w:r>
          </w:p>
          <w:p w14:paraId="189EA867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міської ради</w:t>
            </w:r>
          </w:p>
        </w:tc>
      </w:tr>
      <w:tr w:rsidR="009F7395" w:rsidRPr="00920F1F" w14:paraId="238991B9" w14:textId="77777777" w:rsidTr="009F7395">
        <w:trPr>
          <w:trHeight w:val="1293"/>
        </w:trPr>
        <w:tc>
          <w:tcPr>
            <w:tcW w:w="2821" w:type="dxa"/>
            <w:shd w:val="clear" w:color="auto" w:fill="auto"/>
          </w:tcPr>
          <w:p w14:paraId="70B6FD3B" w14:textId="77777777" w:rsidR="00CC4596" w:rsidRPr="009F7395" w:rsidRDefault="00CC4596" w:rsidP="009F7395">
            <w:pPr>
              <w:ind w:left="57" w:right="57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371DB339" w14:textId="77777777" w:rsidR="00920F1F" w:rsidRPr="00920F1F" w:rsidRDefault="00920F1F" w:rsidP="009F7395">
            <w:pPr>
              <w:ind w:right="57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Секретар комісії:</w:t>
            </w:r>
          </w:p>
        </w:tc>
        <w:tc>
          <w:tcPr>
            <w:tcW w:w="6282" w:type="dxa"/>
            <w:shd w:val="clear" w:color="auto" w:fill="auto"/>
          </w:tcPr>
          <w:p w14:paraId="0971760A" w14:textId="77777777" w:rsidR="00CC4596" w:rsidRPr="009F7395" w:rsidRDefault="00CC4596" w:rsidP="009F7395">
            <w:pPr>
              <w:ind w:left="298" w:right="57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uk-UA"/>
              </w:rPr>
            </w:pPr>
          </w:p>
          <w:p w14:paraId="60CA196D" w14:textId="77777777" w:rsidR="00CC4596" w:rsidRPr="009F7395" w:rsidRDefault="00CC4596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Кривіцький Василь Ростиславович</w:t>
            </w:r>
            <w:r w:rsidRPr="009F739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,</w:t>
            </w:r>
          </w:p>
          <w:p w14:paraId="443E427D" w14:textId="77777777" w:rsidR="00920F1F" w:rsidRPr="00920F1F" w:rsidRDefault="00CC4596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провідний спеціаліст відділу земельних ресурсів міської ради</w:t>
            </w:r>
          </w:p>
        </w:tc>
      </w:tr>
      <w:tr w:rsidR="009F7395" w:rsidRPr="00920F1F" w14:paraId="5F0684DD" w14:textId="77777777" w:rsidTr="009F7395">
        <w:trPr>
          <w:trHeight w:val="517"/>
        </w:trPr>
        <w:tc>
          <w:tcPr>
            <w:tcW w:w="2821" w:type="dxa"/>
            <w:shd w:val="clear" w:color="auto" w:fill="auto"/>
            <w:vAlign w:val="center"/>
          </w:tcPr>
          <w:p w14:paraId="6FA837A7" w14:textId="77777777" w:rsidR="00920F1F" w:rsidRPr="00920F1F" w:rsidRDefault="00920F1F" w:rsidP="009F7395">
            <w:pPr>
              <w:ind w:right="57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Члени комісії:</w:t>
            </w:r>
          </w:p>
          <w:p w14:paraId="236BEC85" w14:textId="77777777" w:rsidR="00920F1F" w:rsidRPr="00920F1F" w:rsidRDefault="00920F1F" w:rsidP="009F7395">
            <w:pPr>
              <w:ind w:left="57" w:right="57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6282" w:type="dxa"/>
            <w:shd w:val="clear" w:color="auto" w:fill="auto"/>
          </w:tcPr>
          <w:p w14:paraId="7E5D5EB0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9F7395" w:rsidRPr="00920F1F" w14:paraId="2E417AA4" w14:textId="77777777" w:rsidTr="009F7395">
        <w:trPr>
          <w:trHeight w:val="972"/>
        </w:trPr>
        <w:tc>
          <w:tcPr>
            <w:tcW w:w="2821" w:type="dxa"/>
            <w:shd w:val="clear" w:color="auto" w:fill="auto"/>
          </w:tcPr>
          <w:p w14:paraId="1824071A" w14:textId="77777777" w:rsidR="00920F1F" w:rsidRPr="00920F1F" w:rsidRDefault="00920F1F" w:rsidP="009F7395">
            <w:pPr>
              <w:ind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Сорока</w:t>
            </w:r>
            <w:r w:rsidR="00373FC1" w:rsidRPr="009F739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Юрій Йосипович</w:t>
            </w:r>
          </w:p>
        </w:tc>
        <w:tc>
          <w:tcPr>
            <w:tcW w:w="6282" w:type="dxa"/>
            <w:shd w:val="clear" w:color="auto" w:fill="auto"/>
          </w:tcPr>
          <w:p w14:paraId="39312ABE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депутат міської ради, голова п</w:t>
            </w:r>
            <w:r w:rsidRPr="00920F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остійної комісії з питань регулювання земельних відносин та раціонального використання природних ресурсів</w:t>
            </w:r>
          </w:p>
        </w:tc>
      </w:tr>
      <w:tr w:rsidR="009F7395" w:rsidRPr="00920F1F" w14:paraId="059324F4" w14:textId="77777777" w:rsidTr="009F7395">
        <w:trPr>
          <w:trHeight w:val="334"/>
        </w:trPr>
        <w:tc>
          <w:tcPr>
            <w:tcW w:w="2821" w:type="dxa"/>
            <w:shd w:val="clear" w:color="auto" w:fill="auto"/>
          </w:tcPr>
          <w:p w14:paraId="210AA139" w14:textId="77777777" w:rsidR="00920F1F" w:rsidRPr="00920F1F" w:rsidRDefault="00920F1F" w:rsidP="009F7395">
            <w:pPr>
              <w:ind w:left="57"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6282" w:type="dxa"/>
            <w:shd w:val="clear" w:color="auto" w:fill="auto"/>
          </w:tcPr>
          <w:p w14:paraId="2FD7D1AA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</w:tr>
      <w:tr w:rsidR="009F7395" w:rsidRPr="00920F1F" w14:paraId="16532B74" w14:textId="77777777" w:rsidTr="009F7395">
        <w:trPr>
          <w:trHeight w:val="1215"/>
        </w:trPr>
        <w:tc>
          <w:tcPr>
            <w:tcW w:w="2821" w:type="dxa"/>
            <w:shd w:val="clear" w:color="auto" w:fill="auto"/>
          </w:tcPr>
          <w:p w14:paraId="78FD4EF9" w14:textId="77777777" w:rsidR="00920F1F" w:rsidRPr="00920F1F" w:rsidRDefault="00920F1F" w:rsidP="009F7395">
            <w:pPr>
              <w:ind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Гнип</w:t>
            </w:r>
            <w:proofErr w:type="spellEnd"/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Андрій Михайлович</w:t>
            </w:r>
          </w:p>
        </w:tc>
        <w:tc>
          <w:tcPr>
            <w:tcW w:w="6282" w:type="dxa"/>
            <w:shd w:val="clear" w:color="auto" w:fill="auto"/>
          </w:tcPr>
          <w:p w14:paraId="28CB985A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завідувач сектором «Варта громади» відділу з питань надзвичайних ситуацій, цивільного захисту населення та оборонної роботи виконавчого комітету міської ради</w:t>
            </w:r>
          </w:p>
          <w:p w14:paraId="25A06BC5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</w:tr>
      <w:tr w:rsidR="009F7395" w:rsidRPr="00920F1F" w14:paraId="5BDB7055" w14:textId="77777777" w:rsidTr="009F7395">
        <w:trPr>
          <w:trHeight w:val="1200"/>
        </w:trPr>
        <w:tc>
          <w:tcPr>
            <w:tcW w:w="2821" w:type="dxa"/>
            <w:shd w:val="clear" w:color="auto" w:fill="auto"/>
          </w:tcPr>
          <w:p w14:paraId="0FB6AE2D" w14:textId="77777777" w:rsidR="00920F1F" w:rsidRPr="00920F1F" w:rsidRDefault="00920F1F" w:rsidP="009F7395">
            <w:pPr>
              <w:ind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Левицький</w:t>
            </w:r>
            <w:r w:rsidR="00373FC1" w:rsidRPr="009F739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Богдан Ярославович</w:t>
            </w:r>
          </w:p>
        </w:tc>
        <w:tc>
          <w:tcPr>
            <w:tcW w:w="6282" w:type="dxa"/>
            <w:shd w:val="clear" w:color="auto" w:fill="auto"/>
          </w:tcPr>
          <w:p w14:paraId="6E44AE31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 спеціаліст з питань екології відділу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</w:tr>
      <w:tr w:rsidR="009F7395" w:rsidRPr="00920F1F" w14:paraId="72096038" w14:textId="77777777" w:rsidTr="009F7395">
        <w:trPr>
          <w:trHeight w:val="881"/>
        </w:trPr>
        <w:tc>
          <w:tcPr>
            <w:tcW w:w="2821" w:type="dxa"/>
            <w:shd w:val="clear" w:color="auto" w:fill="auto"/>
          </w:tcPr>
          <w:p w14:paraId="0C714154" w14:textId="77777777" w:rsidR="00920F1F" w:rsidRPr="00920F1F" w:rsidRDefault="00920F1F" w:rsidP="009F7395">
            <w:pPr>
              <w:ind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Павлів Микола Іванович</w:t>
            </w:r>
          </w:p>
        </w:tc>
        <w:tc>
          <w:tcPr>
            <w:tcW w:w="6282" w:type="dxa"/>
            <w:shd w:val="clear" w:color="auto" w:fill="auto"/>
          </w:tcPr>
          <w:p w14:paraId="6FE3DBD3" w14:textId="77777777" w:rsidR="00CC4596" w:rsidRPr="009F7395" w:rsidRDefault="00CC4596" w:rsidP="009F7395">
            <w:pPr>
              <w:ind w:left="298" w:right="57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  <w:p w14:paraId="13752338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 спеціаліст відділу містобудування та архітектури виконавчого комітету міської ради</w:t>
            </w:r>
          </w:p>
          <w:p w14:paraId="0FD4CEAC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</w:tr>
      <w:tr w:rsidR="009F7395" w:rsidRPr="00920F1F" w14:paraId="1248D75B" w14:textId="77777777" w:rsidTr="009F7395">
        <w:trPr>
          <w:trHeight w:val="653"/>
        </w:trPr>
        <w:tc>
          <w:tcPr>
            <w:tcW w:w="2821" w:type="dxa"/>
            <w:shd w:val="clear" w:color="auto" w:fill="auto"/>
          </w:tcPr>
          <w:p w14:paraId="6CBD25F9" w14:textId="77777777" w:rsidR="00920F1F" w:rsidRPr="00920F1F" w:rsidRDefault="00920F1F" w:rsidP="009F7395">
            <w:pPr>
              <w:ind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Колос Світлана </w:t>
            </w:r>
            <w:r w:rsidR="00373FC1" w:rsidRPr="009F739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Михайлівна</w:t>
            </w:r>
          </w:p>
        </w:tc>
        <w:tc>
          <w:tcPr>
            <w:tcW w:w="6282" w:type="dxa"/>
            <w:shd w:val="clear" w:color="auto" w:fill="auto"/>
          </w:tcPr>
          <w:p w14:paraId="2F66B55F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 спеціаліст відділу власності виконавчого комітету міської ради</w:t>
            </w:r>
          </w:p>
        </w:tc>
      </w:tr>
      <w:tr w:rsidR="009F7395" w:rsidRPr="00920F1F" w14:paraId="5105C05B" w14:textId="77777777" w:rsidTr="009F7395">
        <w:trPr>
          <w:trHeight w:val="319"/>
        </w:trPr>
        <w:tc>
          <w:tcPr>
            <w:tcW w:w="2821" w:type="dxa"/>
            <w:shd w:val="clear" w:color="auto" w:fill="auto"/>
          </w:tcPr>
          <w:p w14:paraId="0F7A695F" w14:textId="77777777" w:rsidR="00920F1F" w:rsidRPr="00920F1F" w:rsidRDefault="00920F1F" w:rsidP="009F7395">
            <w:pPr>
              <w:ind w:left="57"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6282" w:type="dxa"/>
            <w:shd w:val="clear" w:color="auto" w:fill="auto"/>
          </w:tcPr>
          <w:p w14:paraId="66291489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</w:tr>
      <w:tr w:rsidR="009F7395" w:rsidRPr="00920F1F" w14:paraId="3DAB3009" w14:textId="77777777" w:rsidTr="009F7395">
        <w:trPr>
          <w:trHeight w:val="653"/>
        </w:trPr>
        <w:tc>
          <w:tcPr>
            <w:tcW w:w="2821" w:type="dxa"/>
            <w:shd w:val="clear" w:color="auto" w:fill="auto"/>
          </w:tcPr>
          <w:p w14:paraId="64B1552C" w14:textId="77777777" w:rsidR="00920F1F" w:rsidRPr="00920F1F" w:rsidRDefault="00920F1F" w:rsidP="009F7395">
            <w:pPr>
              <w:ind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Сташків</w:t>
            </w:r>
            <w:r w:rsidR="00373FC1" w:rsidRPr="009F739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Оксана Богданівна</w:t>
            </w:r>
          </w:p>
        </w:tc>
        <w:tc>
          <w:tcPr>
            <w:tcW w:w="6282" w:type="dxa"/>
            <w:shd w:val="clear" w:color="auto" w:fill="auto"/>
          </w:tcPr>
          <w:p w14:paraId="021D6B54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 спеціаліст відділу правової роботи виконавчого комітету міської ради</w:t>
            </w:r>
          </w:p>
        </w:tc>
      </w:tr>
    </w:tbl>
    <w:p w14:paraId="6B5E9DCA" w14:textId="1D2A16CF" w:rsidR="00373FC1" w:rsidRDefault="00920F1F" w:rsidP="00373FC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920F1F">
        <w:rPr>
          <w:rFonts w:ascii="Times New Roman" w:eastAsia="Times New Roman" w:hAnsi="Times New Roman"/>
          <w:sz w:val="28"/>
          <w:szCs w:val="28"/>
          <w:lang w:eastAsia="uk-UA"/>
        </w:rPr>
        <w:t> </w:t>
      </w:r>
    </w:p>
    <w:p w14:paraId="72B9CA61" w14:textId="77777777" w:rsidR="00FA3812" w:rsidRPr="00CB3F93" w:rsidRDefault="00FA3812" w:rsidP="00373FC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5D6412" w14:textId="77777777" w:rsidR="00CB3F93" w:rsidRPr="00BF049F" w:rsidRDefault="00373FC1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AB4C2A"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міської ради </w:t>
      </w:r>
      <w:r w:rsidRPr="00AB4C2A">
        <w:rPr>
          <w:rFonts w:ascii="Times New Roman" w:eastAsia="Times New Roman" w:hAnsi="Times New Roman"/>
          <w:sz w:val="28"/>
          <w:szCs w:val="28"/>
          <w:lang w:eastAsia="uk-UA"/>
        </w:rPr>
        <w:tab/>
        <w:t>Христина СОРОКА</w:t>
      </w:r>
    </w:p>
    <w:sectPr w:rsidR="00CB3F93" w:rsidRPr="00BF049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A594E" w14:textId="77777777" w:rsidR="003145FC" w:rsidRDefault="003145FC">
      <w:r>
        <w:separator/>
      </w:r>
    </w:p>
  </w:endnote>
  <w:endnote w:type="continuationSeparator" w:id="0">
    <w:p w14:paraId="163BF38B" w14:textId="77777777" w:rsidR="003145FC" w:rsidRDefault="0031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B2A32" w14:textId="77777777" w:rsidR="003145FC" w:rsidRDefault="003145FC">
      <w:r>
        <w:separator/>
      </w:r>
    </w:p>
  </w:footnote>
  <w:footnote w:type="continuationSeparator" w:id="0">
    <w:p w14:paraId="6ADB04E0" w14:textId="77777777" w:rsidR="003145FC" w:rsidRDefault="0031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C787F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5947848A" w14:textId="77777777" w:rsidR="009E01A5" w:rsidRDefault="009E01A5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3349E"/>
    <w:multiLevelType w:val="multilevel"/>
    <w:tmpl w:val="99A0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849"/>
    <w:rsid w:val="00004C5E"/>
    <w:rsid w:val="00011B0A"/>
    <w:rsid w:val="00023DA8"/>
    <w:rsid w:val="0003004C"/>
    <w:rsid w:val="00031089"/>
    <w:rsid w:val="00034E83"/>
    <w:rsid w:val="00035827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B6F5A"/>
    <w:rsid w:val="000C134F"/>
    <w:rsid w:val="000D55B9"/>
    <w:rsid w:val="000E5397"/>
    <w:rsid w:val="000E6A67"/>
    <w:rsid w:val="000E705C"/>
    <w:rsid w:val="00101700"/>
    <w:rsid w:val="001201C8"/>
    <w:rsid w:val="0012648C"/>
    <w:rsid w:val="00130E79"/>
    <w:rsid w:val="0014277A"/>
    <w:rsid w:val="001533C4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23BE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839B3"/>
    <w:rsid w:val="002A0050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12AE4"/>
    <w:rsid w:val="003145FC"/>
    <w:rsid w:val="0032765B"/>
    <w:rsid w:val="00330408"/>
    <w:rsid w:val="00331CB5"/>
    <w:rsid w:val="00344230"/>
    <w:rsid w:val="00344585"/>
    <w:rsid w:val="0035067E"/>
    <w:rsid w:val="0035345B"/>
    <w:rsid w:val="003538F9"/>
    <w:rsid w:val="003576B9"/>
    <w:rsid w:val="00373FC1"/>
    <w:rsid w:val="00387E20"/>
    <w:rsid w:val="00390783"/>
    <w:rsid w:val="00391FD0"/>
    <w:rsid w:val="003A10DB"/>
    <w:rsid w:val="003B464B"/>
    <w:rsid w:val="003D1F0A"/>
    <w:rsid w:val="003E3B24"/>
    <w:rsid w:val="003F3C83"/>
    <w:rsid w:val="004127EB"/>
    <w:rsid w:val="004210EF"/>
    <w:rsid w:val="004215CF"/>
    <w:rsid w:val="00430B05"/>
    <w:rsid w:val="004658D7"/>
    <w:rsid w:val="00483BAE"/>
    <w:rsid w:val="004862F1"/>
    <w:rsid w:val="004866AE"/>
    <w:rsid w:val="00494656"/>
    <w:rsid w:val="004A4A65"/>
    <w:rsid w:val="004A6E86"/>
    <w:rsid w:val="004B6F70"/>
    <w:rsid w:val="004C25A8"/>
    <w:rsid w:val="004D5F43"/>
    <w:rsid w:val="004D74C5"/>
    <w:rsid w:val="004F6C93"/>
    <w:rsid w:val="005005AE"/>
    <w:rsid w:val="00505771"/>
    <w:rsid w:val="00522DD4"/>
    <w:rsid w:val="00526640"/>
    <w:rsid w:val="00526D9C"/>
    <w:rsid w:val="00541A3E"/>
    <w:rsid w:val="00550AD7"/>
    <w:rsid w:val="00551F1F"/>
    <w:rsid w:val="005551C5"/>
    <w:rsid w:val="0055565A"/>
    <w:rsid w:val="005570FA"/>
    <w:rsid w:val="00582E9C"/>
    <w:rsid w:val="005B15A9"/>
    <w:rsid w:val="005E4783"/>
    <w:rsid w:val="0060064E"/>
    <w:rsid w:val="006036F0"/>
    <w:rsid w:val="00605EC9"/>
    <w:rsid w:val="006172E0"/>
    <w:rsid w:val="0061787A"/>
    <w:rsid w:val="006245F5"/>
    <w:rsid w:val="006556B1"/>
    <w:rsid w:val="00657122"/>
    <w:rsid w:val="0066372B"/>
    <w:rsid w:val="00664706"/>
    <w:rsid w:val="00667C45"/>
    <w:rsid w:val="00675FF7"/>
    <w:rsid w:val="00682501"/>
    <w:rsid w:val="0068275F"/>
    <w:rsid w:val="00686BF2"/>
    <w:rsid w:val="006955A1"/>
    <w:rsid w:val="006A41CA"/>
    <w:rsid w:val="006A5B0F"/>
    <w:rsid w:val="006C55E6"/>
    <w:rsid w:val="006D04AC"/>
    <w:rsid w:val="006D61B0"/>
    <w:rsid w:val="006E6319"/>
    <w:rsid w:val="007316AD"/>
    <w:rsid w:val="00755EF3"/>
    <w:rsid w:val="00762196"/>
    <w:rsid w:val="00762999"/>
    <w:rsid w:val="007638B8"/>
    <w:rsid w:val="0076421E"/>
    <w:rsid w:val="0077712A"/>
    <w:rsid w:val="00787815"/>
    <w:rsid w:val="0079583D"/>
    <w:rsid w:val="007A59F7"/>
    <w:rsid w:val="007C1817"/>
    <w:rsid w:val="007C2EB8"/>
    <w:rsid w:val="007C59A5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20F1F"/>
    <w:rsid w:val="009306BB"/>
    <w:rsid w:val="009341DF"/>
    <w:rsid w:val="009362C9"/>
    <w:rsid w:val="00944F20"/>
    <w:rsid w:val="00953114"/>
    <w:rsid w:val="00954EEF"/>
    <w:rsid w:val="00964534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7699"/>
    <w:rsid w:val="009E01A5"/>
    <w:rsid w:val="009F38B4"/>
    <w:rsid w:val="009F7395"/>
    <w:rsid w:val="00A13B4F"/>
    <w:rsid w:val="00A569AB"/>
    <w:rsid w:val="00A57AD3"/>
    <w:rsid w:val="00A735F3"/>
    <w:rsid w:val="00A747AB"/>
    <w:rsid w:val="00A812B4"/>
    <w:rsid w:val="00A91831"/>
    <w:rsid w:val="00A91BC6"/>
    <w:rsid w:val="00A943EA"/>
    <w:rsid w:val="00AA72B5"/>
    <w:rsid w:val="00AA7B48"/>
    <w:rsid w:val="00AB14FD"/>
    <w:rsid w:val="00AB4C2A"/>
    <w:rsid w:val="00AD00C2"/>
    <w:rsid w:val="00AD3FC9"/>
    <w:rsid w:val="00AE064A"/>
    <w:rsid w:val="00AE0D93"/>
    <w:rsid w:val="00AE2815"/>
    <w:rsid w:val="00AF3FE9"/>
    <w:rsid w:val="00AF7050"/>
    <w:rsid w:val="00B02E5D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1A"/>
    <w:rsid w:val="00B8138B"/>
    <w:rsid w:val="00B8176A"/>
    <w:rsid w:val="00B94E3F"/>
    <w:rsid w:val="00BA002C"/>
    <w:rsid w:val="00BA1257"/>
    <w:rsid w:val="00BA794A"/>
    <w:rsid w:val="00BB7F3E"/>
    <w:rsid w:val="00BC35A1"/>
    <w:rsid w:val="00BE6BF7"/>
    <w:rsid w:val="00BF049F"/>
    <w:rsid w:val="00BF1687"/>
    <w:rsid w:val="00C036BA"/>
    <w:rsid w:val="00C100FD"/>
    <w:rsid w:val="00C132B5"/>
    <w:rsid w:val="00C17487"/>
    <w:rsid w:val="00C1774B"/>
    <w:rsid w:val="00C17812"/>
    <w:rsid w:val="00C251D4"/>
    <w:rsid w:val="00C259D4"/>
    <w:rsid w:val="00C26D95"/>
    <w:rsid w:val="00C521C5"/>
    <w:rsid w:val="00C60C53"/>
    <w:rsid w:val="00C657C7"/>
    <w:rsid w:val="00C8466B"/>
    <w:rsid w:val="00C9058F"/>
    <w:rsid w:val="00CA0138"/>
    <w:rsid w:val="00CA14CA"/>
    <w:rsid w:val="00CA425C"/>
    <w:rsid w:val="00CB3F93"/>
    <w:rsid w:val="00CC1948"/>
    <w:rsid w:val="00CC4596"/>
    <w:rsid w:val="00D02814"/>
    <w:rsid w:val="00D04837"/>
    <w:rsid w:val="00D174E0"/>
    <w:rsid w:val="00D26277"/>
    <w:rsid w:val="00D34C92"/>
    <w:rsid w:val="00D434D7"/>
    <w:rsid w:val="00D5197B"/>
    <w:rsid w:val="00D5227D"/>
    <w:rsid w:val="00D71D23"/>
    <w:rsid w:val="00D816EB"/>
    <w:rsid w:val="00DA2F98"/>
    <w:rsid w:val="00DA7E0B"/>
    <w:rsid w:val="00DB308F"/>
    <w:rsid w:val="00DB31D4"/>
    <w:rsid w:val="00DB33AC"/>
    <w:rsid w:val="00DB3442"/>
    <w:rsid w:val="00DC0E67"/>
    <w:rsid w:val="00DC20D6"/>
    <w:rsid w:val="00DC5224"/>
    <w:rsid w:val="00DC6055"/>
    <w:rsid w:val="00DC6957"/>
    <w:rsid w:val="00DD1285"/>
    <w:rsid w:val="00DE175D"/>
    <w:rsid w:val="00DE2DD2"/>
    <w:rsid w:val="00E143C0"/>
    <w:rsid w:val="00E14BCC"/>
    <w:rsid w:val="00E37906"/>
    <w:rsid w:val="00E718F5"/>
    <w:rsid w:val="00E81350"/>
    <w:rsid w:val="00E85C47"/>
    <w:rsid w:val="00E86C69"/>
    <w:rsid w:val="00EA3581"/>
    <w:rsid w:val="00EB045E"/>
    <w:rsid w:val="00EB4D2B"/>
    <w:rsid w:val="00EB79A4"/>
    <w:rsid w:val="00EC573C"/>
    <w:rsid w:val="00EE41DD"/>
    <w:rsid w:val="00F044F4"/>
    <w:rsid w:val="00F20301"/>
    <w:rsid w:val="00F43F79"/>
    <w:rsid w:val="00F473BC"/>
    <w:rsid w:val="00F47EE2"/>
    <w:rsid w:val="00F55003"/>
    <w:rsid w:val="00F620AB"/>
    <w:rsid w:val="00F64886"/>
    <w:rsid w:val="00F94FBB"/>
    <w:rsid w:val="00FA184F"/>
    <w:rsid w:val="00FA343D"/>
    <w:rsid w:val="00FA3812"/>
    <w:rsid w:val="00FB25E0"/>
    <w:rsid w:val="00FB3098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918D5"/>
  <w15:docId w15:val="{07B14BC5-3FFC-468C-B4EE-6F7275B5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  <w:style w:type="table" w:styleId="ae">
    <w:name w:val="Table Grid"/>
    <w:basedOn w:val="a1"/>
    <w:uiPriority w:val="39"/>
    <w:locked/>
    <w:rsid w:val="00920F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2DE45-5335-4D92-A276-2E26DE6E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5782</Words>
  <Characters>3297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4</cp:revision>
  <cp:lastPrinted>2025-08-01T12:03:00Z</cp:lastPrinted>
  <dcterms:created xsi:type="dcterms:W3CDTF">2025-07-25T07:52:00Z</dcterms:created>
  <dcterms:modified xsi:type="dcterms:W3CDTF">2025-08-01T12:04:00Z</dcterms:modified>
</cp:coreProperties>
</file>