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2F1D" w14:textId="39FED6F8" w:rsidR="00EB1F41" w:rsidRDefault="004D699B" w:rsidP="00EB1F4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</w:t>
      </w:r>
      <w:r w:rsidR="00EB1F41">
        <w:rPr>
          <w:rFonts w:eastAsia="Calibri"/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2224D042" w14:textId="410C5408" w:rsidR="000E2D20" w:rsidRPr="004D699B" w:rsidRDefault="000E2D20" w:rsidP="00EB1F4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20165CC0" wp14:editId="14F0FE8E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4BA4" w14:textId="77777777" w:rsidR="000E2D20" w:rsidRPr="003D2A06" w:rsidRDefault="000E2D20" w:rsidP="000E2D20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EA0C058" w14:textId="77777777" w:rsidR="000E2D20" w:rsidRPr="003D2A06" w:rsidRDefault="000E2D20" w:rsidP="000E2D20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7FFF437" w14:textId="77777777" w:rsidR="000E2D20" w:rsidRPr="003D2A06" w:rsidRDefault="000E2D20" w:rsidP="000E2D20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624807" wp14:editId="6172287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29E3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148D2C0" w14:textId="77777777" w:rsidR="000E2D20" w:rsidRPr="003D2A06" w:rsidRDefault="000E2D20" w:rsidP="000E2D20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51C9D176" w14:textId="77777777" w:rsidR="000E2D20" w:rsidRPr="003D2A06" w:rsidRDefault="000E2D20" w:rsidP="000E2D20">
      <w:pPr>
        <w:rPr>
          <w:rFonts w:eastAsia="Calibri"/>
          <w:color w:val="000000"/>
          <w:sz w:val="28"/>
          <w:szCs w:val="28"/>
          <w:lang w:eastAsia="uk-UA"/>
        </w:rPr>
      </w:pPr>
    </w:p>
    <w:p w14:paraId="4675812C" w14:textId="2EB5C61B" w:rsidR="000E2D20" w:rsidRPr="003D2A06" w:rsidRDefault="004D699B" w:rsidP="000E2D2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26 червня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 w:rsidR="00FE1AF7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DB3AA6">
        <w:rPr>
          <w:rFonts w:eastAsia="Calibri"/>
          <w:color w:val="000000"/>
          <w:sz w:val="28"/>
          <w:szCs w:val="28"/>
          <w:lang w:eastAsia="uk-UA"/>
        </w:rPr>
        <w:tab/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FE1AF7">
        <w:rPr>
          <w:rFonts w:eastAsia="Calibri"/>
          <w:color w:val="000000"/>
          <w:sz w:val="28"/>
          <w:szCs w:val="28"/>
          <w:lang w:val="uk-UA" w:eastAsia="uk-UA"/>
        </w:rPr>
        <w:t>62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="000E2D20"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="000E2D20"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="000E2D20"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="000E2D20"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24E93EA4" w14:textId="77777777" w:rsidR="000E2D20" w:rsidRPr="003D2A06" w:rsidRDefault="000E2D20" w:rsidP="000E2D2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2314E243" w14:textId="77777777" w:rsidR="000E2D20" w:rsidRPr="009228A4" w:rsidRDefault="000E2D20" w:rsidP="000E2D20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7338DF28" w14:textId="77777777" w:rsidR="000E2D20" w:rsidRPr="009228A4" w:rsidRDefault="000E2D20" w:rsidP="000E2D20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41BD8F64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bookmarkEnd w:id="0"/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</w:t>
      </w:r>
    </w:p>
    <w:p w14:paraId="18492EFC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підрозділів Міністерства оборони України, </w:t>
      </w:r>
    </w:p>
    <w:p w14:paraId="7CFE06A0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Збройних Сил України, територіальної оборони,</w:t>
      </w:r>
    </w:p>
    <w:p w14:paraId="2A0CF202" w14:textId="28712E44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Міністерства внутрішніх</w:t>
      </w:r>
      <w:r w:rsidR="00EE6AE3">
        <w:rPr>
          <w:sz w:val="28"/>
          <w:szCs w:val="28"/>
          <w:lang w:val="uk-UA"/>
        </w:rPr>
        <w:t xml:space="preserve"> </w:t>
      </w:r>
      <w:r w:rsidRPr="008C1501">
        <w:rPr>
          <w:sz w:val="28"/>
          <w:szCs w:val="28"/>
          <w:lang w:val="uk-UA"/>
        </w:rPr>
        <w:t xml:space="preserve">справ України, </w:t>
      </w:r>
    </w:p>
    <w:p w14:paraId="7A7F95EB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правоохоронних органів та інших військових </w:t>
      </w:r>
    </w:p>
    <w:p w14:paraId="3FC9A58F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формувань, утворених відповідно до законів </w:t>
      </w:r>
    </w:p>
    <w:p w14:paraId="73C5DF3B" w14:textId="2DCA2A68" w:rsidR="000E2D20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України, що беруть участь у здійсненні </w:t>
      </w:r>
    </w:p>
    <w:p w14:paraId="1D30646A" w14:textId="77777777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заходів із забезпечення національної безпеки і </w:t>
      </w:r>
    </w:p>
    <w:p w14:paraId="729C0404" w14:textId="6489051B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оборони, відсічі і стримування збройної агресії </w:t>
      </w:r>
    </w:p>
    <w:p w14:paraId="3FACDA66" w14:textId="6F96432D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375A6640" w14:textId="77777777" w:rsidR="000E2D20" w:rsidRPr="00FB188F" w:rsidRDefault="000E2D20" w:rsidP="000E2D20">
      <w:pPr>
        <w:rPr>
          <w:sz w:val="28"/>
          <w:szCs w:val="28"/>
        </w:rPr>
      </w:pPr>
    </w:p>
    <w:p w14:paraId="65435AA9" w14:textId="188C41B0" w:rsidR="000E2D20" w:rsidRDefault="000E2D20" w:rsidP="000E2D20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57C0CADD" w14:textId="77777777" w:rsidR="000E2D20" w:rsidRPr="009228A4" w:rsidRDefault="000E2D20" w:rsidP="000E2D20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</w:p>
    <w:p w14:paraId="63F9FCE7" w14:textId="0089BC51" w:rsidR="000E2D20" w:rsidRPr="0052310B" w:rsidRDefault="000E2D20" w:rsidP="000E2D20">
      <w:pPr>
        <w:pStyle w:val="a5"/>
        <w:ind w:firstLine="567"/>
        <w:jc w:val="both"/>
        <w:rPr>
          <w:sz w:val="28"/>
          <w:szCs w:val="28"/>
          <w:lang w:val="uk-UA"/>
        </w:rPr>
      </w:pPr>
      <w:proofErr w:type="spellStart"/>
      <w:r w:rsidRPr="0052310B">
        <w:rPr>
          <w:color w:val="000000"/>
          <w:sz w:val="28"/>
          <w:szCs w:val="28"/>
        </w:rPr>
        <w:t>Відповідно</w:t>
      </w:r>
      <w:proofErr w:type="spellEnd"/>
      <w:r w:rsidRPr="0052310B">
        <w:rPr>
          <w:color w:val="000000"/>
          <w:sz w:val="28"/>
          <w:szCs w:val="28"/>
        </w:rPr>
        <w:t xml:space="preserve"> до </w:t>
      </w:r>
      <w:r w:rsidRPr="0052310B">
        <w:rPr>
          <w:sz w:val="28"/>
          <w:szCs w:val="28"/>
        </w:rPr>
        <w:t xml:space="preserve">Закону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 «Про </w:t>
      </w:r>
      <w:proofErr w:type="spellStart"/>
      <w:r w:rsidRPr="0052310B">
        <w:rPr>
          <w:sz w:val="28"/>
          <w:szCs w:val="28"/>
        </w:rPr>
        <w:t>місцеве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самоврядування</w:t>
      </w:r>
      <w:proofErr w:type="spellEnd"/>
      <w:r w:rsidRPr="0052310B">
        <w:rPr>
          <w:sz w:val="28"/>
          <w:szCs w:val="28"/>
        </w:rPr>
        <w:t xml:space="preserve"> в </w:t>
      </w:r>
      <w:proofErr w:type="spellStart"/>
      <w:r w:rsidRPr="0052310B">
        <w:rPr>
          <w:sz w:val="28"/>
          <w:szCs w:val="28"/>
        </w:rPr>
        <w:t>Україні</w:t>
      </w:r>
      <w:proofErr w:type="spellEnd"/>
      <w:r w:rsidRPr="0052310B">
        <w:rPr>
          <w:sz w:val="28"/>
          <w:szCs w:val="28"/>
        </w:rPr>
        <w:t>»,</w:t>
      </w:r>
      <w:r w:rsidRPr="0052310B">
        <w:rPr>
          <w:color w:val="000000"/>
          <w:sz w:val="28"/>
          <w:szCs w:val="28"/>
        </w:rPr>
        <w:t xml:space="preserve"> Бюджетного кодексу </w:t>
      </w:r>
      <w:proofErr w:type="spell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, </w:t>
      </w:r>
      <w:proofErr w:type="spellStart"/>
      <w:r>
        <w:rPr>
          <w:sz w:val="28"/>
          <w:szCs w:val="28"/>
        </w:rPr>
        <w:t>Законів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 «Про </w:t>
      </w:r>
      <w:proofErr w:type="spellStart"/>
      <w:r w:rsidRPr="0052310B">
        <w:rPr>
          <w:sz w:val="28"/>
          <w:szCs w:val="28"/>
        </w:rPr>
        <w:t>основи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національного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спротиву</w:t>
      </w:r>
      <w:proofErr w:type="spellEnd"/>
      <w:r w:rsidRPr="0052310B">
        <w:rPr>
          <w:sz w:val="28"/>
          <w:szCs w:val="28"/>
        </w:rPr>
        <w:t xml:space="preserve">», «Про оборону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», «Про </w:t>
      </w:r>
      <w:proofErr w:type="spellStart"/>
      <w:r w:rsidRPr="0052310B">
        <w:rPr>
          <w:sz w:val="28"/>
          <w:szCs w:val="28"/>
        </w:rPr>
        <w:t>військовий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обов’язок</w:t>
      </w:r>
      <w:proofErr w:type="spellEnd"/>
      <w:r w:rsidRPr="0052310B">
        <w:rPr>
          <w:sz w:val="28"/>
          <w:szCs w:val="28"/>
        </w:rPr>
        <w:t xml:space="preserve"> і </w:t>
      </w:r>
      <w:proofErr w:type="spellStart"/>
      <w:r w:rsidRPr="0052310B">
        <w:rPr>
          <w:sz w:val="28"/>
          <w:szCs w:val="28"/>
        </w:rPr>
        <w:t>військову</w:t>
      </w:r>
      <w:proofErr w:type="spellEnd"/>
      <w:r w:rsidRPr="0052310B">
        <w:rPr>
          <w:sz w:val="28"/>
          <w:szCs w:val="28"/>
        </w:rPr>
        <w:t xml:space="preserve"> службу»</w:t>
      </w:r>
      <w:r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 xml:space="preserve">«Про </w:t>
      </w:r>
      <w:proofErr w:type="spellStart"/>
      <w:r w:rsidRPr="0052310B">
        <w:rPr>
          <w:color w:val="000000"/>
          <w:sz w:val="28"/>
          <w:szCs w:val="28"/>
        </w:rPr>
        <w:t>Збройні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Сили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»</w:t>
      </w:r>
      <w:r>
        <w:rPr>
          <w:sz w:val="28"/>
          <w:szCs w:val="28"/>
          <w:lang w:val="uk-UA"/>
        </w:rPr>
        <w:t>, Указу</w:t>
      </w:r>
      <w:r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sz w:val="28"/>
          <w:szCs w:val="28"/>
          <w:lang w:val="uk-UA"/>
        </w:rPr>
        <w:t>, міська рада ВИРІШИЛА</w:t>
      </w:r>
      <w:r w:rsidRPr="0052310B">
        <w:rPr>
          <w:sz w:val="28"/>
          <w:szCs w:val="28"/>
          <w:lang w:val="uk-UA"/>
        </w:rPr>
        <w:t>:</w:t>
      </w:r>
    </w:p>
    <w:p w14:paraId="08681F42" w14:textId="331DEC6E" w:rsidR="000E2D20" w:rsidRPr="008C1501" w:rsidRDefault="000E2D20" w:rsidP="000E2D2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 (далі – Програма), </w:t>
      </w:r>
      <w:r w:rsidRPr="00F6436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64360">
        <w:rPr>
          <w:sz w:val="28"/>
          <w:szCs w:val="28"/>
          <w:lang w:val="uk-UA"/>
        </w:rPr>
        <w:t xml:space="preserve"> рішенням 56 сесії міської ради </w:t>
      </w:r>
      <w:r w:rsidRPr="008C1501">
        <w:rPr>
          <w:color w:val="000000"/>
          <w:sz w:val="28"/>
          <w:szCs w:val="28"/>
          <w:lang w:val="uk-UA"/>
        </w:rPr>
        <w:t>від 19 грудня 2024 р. №</w:t>
      </w:r>
      <w:r w:rsidRPr="00F64360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  <w:lang w:val="uk-UA"/>
        </w:rPr>
        <w:t xml:space="preserve"> (зі змінами):</w:t>
      </w:r>
    </w:p>
    <w:p w14:paraId="153A867F" w14:textId="77777777" w:rsidR="003A357D" w:rsidRPr="003A357D" w:rsidRDefault="003A357D" w:rsidP="000E2D20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 </w:t>
      </w:r>
      <w:r w:rsidRPr="000E2D20">
        <w:rPr>
          <w:sz w:val="28"/>
          <w:szCs w:val="24"/>
          <w:lang w:val="uk-UA"/>
        </w:rPr>
        <w:t>в пункті</w:t>
      </w:r>
      <w:r>
        <w:rPr>
          <w:sz w:val="28"/>
          <w:szCs w:val="28"/>
          <w:lang w:val="uk-UA"/>
        </w:rPr>
        <w:t xml:space="preserve"> 1.3. «Облаштування блок-постів та оборонних споруд</w:t>
      </w:r>
      <w:r w:rsidRPr="000E2D20">
        <w:rPr>
          <w:sz w:val="28"/>
          <w:szCs w:val="28"/>
          <w:lang w:val="uk-UA"/>
        </w:rPr>
        <w:t xml:space="preserve">» </w:t>
      </w:r>
      <w:r w:rsidRPr="00712E77">
        <w:rPr>
          <w:sz w:val="28"/>
          <w:szCs w:val="24"/>
          <w:lang w:val="uk-UA"/>
        </w:rPr>
        <w:t>таблиці розділу 5 «Заходи Програми»</w:t>
      </w:r>
      <w:r>
        <w:rPr>
          <w:sz w:val="28"/>
          <w:szCs w:val="24"/>
          <w:lang w:val="uk-UA"/>
        </w:rPr>
        <w:t xml:space="preserve"> встановити фінансове призначення в  </w:t>
      </w:r>
      <w:r>
        <w:rPr>
          <w:sz w:val="28"/>
          <w:szCs w:val="28"/>
          <w:lang w:val="uk-UA"/>
        </w:rPr>
        <w:t>сумі 35,832 тис. грн</w:t>
      </w:r>
      <w:r>
        <w:rPr>
          <w:sz w:val="28"/>
          <w:szCs w:val="24"/>
          <w:lang w:val="uk-UA"/>
        </w:rPr>
        <w:t xml:space="preserve"> </w:t>
      </w:r>
    </w:p>
    <w:p w14:paraId="3F3481DA" w14:textId="687305AF" w:rsidR="003A357D" w:rsidRPr="003A357D" w:rsidRDefault="003A357D" w:rsidP="000E2D20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lastRenderedPageBreak/>
        <w:t xml:space="preserve"> доповнити пунктом</w:t>
      </w:r>
      <w:r w:rsidR="0085317F">
        <w:rPr>
          <w:sz w:val="28"/>
          <w:szCs w:val="24"/>
          <w:lang w:val="uk-UA"/>
        </w:rPr>
        <w:t xml:space="preserve"> 1.</w:t>
      </w:r>
      <w:r>
        <w:rPr>
          <w:sz w:val="28"/>
          <w:szCs w:val="24"/>
          <w:lang w:val="uk-UA"/>
        </w:rPr>
        <w:t>4</w:t>
      </w:r>
      <w:r w:rsidR="0085317F">
        <w:rPr>
          <w:sz w:val="28"/>
          <w:szCs w:val="24"/>
          <w:lang w:val="uk-UA"/>
        </w:rPr>
        <w:t>.</w:t>
      </w:r>
      <w:r>
        <w:rPr>
          <w:sz w:val="28"/>
          <w:szCs w:val="24"/>
          <w:lang w:val="uk-UA"/>
        </w:rPr>
        <w:t xml:space="preserve"> «</w:t>
      </w:r>
      <w:r w:rsidR="0085317F">
        <w:rPr>
          <w:sz w:val="28"/>
          <w:szCs w:val="24"/>
          <w:lang w:val="uk-UA"/>
        </w:rPr>
        <w:t xml:space="preserve">Участь громади у зміцненні матеріально-технічного забезпечення </w:t>
      </w:r>
      <w:r>
        <w:rPr>
          <w:sz w:val="28"/>
          <w:szCs w:val="24"/>
          <w:lang w:val="uk-UA"/>
        </w:rPr>
        <w:t xml:space="preserve">військової частини Т0950 (на придбання </w:t>
      </w:r>
      <w:r>
        <w:rPr>
          <w:sz w:val="28"/>
          <w:szCs w:val="24"/>
          <w:lang w:val="en-US"/>
        </w:rPr>
        <w:t>RTK</w:t>
      </w:r>
      <w:r>
        <w:rPr>
          <w:sz w:val="28"/>
          <w:szCs w:val="24"/>
          <w:lang w:val="uk-UA"/>
        </w:rPr>
        <w:t xml:space="preserve">-обладнання для впровадження високоточного пошуку та виявлення вибухонебезпечних предметів, необхідних для координації дій груп НТО, ТО та розмінування підрозділів військової частини Т0950, а саме: </w:t>
      </w:r>
    </w:p>
    <w:p w14:paraId="226A53CF" w14:textId="4E0F6222" w:rsidR="003A357D" w:rsidRPr="003A357D" w:rsidRDefault="003A357D" w:rsidP="003A357D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3A357D">
        <w:rPr>
          <w:sz w:val="28"/>
          <w:szCs w:val="24"/>
          <w:lang w:val="uk-UA"/>
        </w:rPr>
        <w:t xml:space="preserve">- додаткові акумулятори для БПЛА </w:t>
      </w:r>
      <w:proofErr w:type="spellStart"/>
      <w:r w:rsidRPr="003A357D">
        <w:rPr>
          <w:sz w:val="28"/>
          <w:szCs w:val="24"/>
          <w:lang w:val="en-US"/>
        </w:rPr>
        <w:t>Autel</w:t>
      </w:r>
      <w:proofErr w:type="spellEnd"/>
      <w:r w:rsidRPr="003A357D">
        <w:rPr>
          <w:sz w:val="28"/>
          <w:szCs w:val="24"/>
          <w:lang w:val="en-US"/>
        </w:rPr>
        <w:t xml:space="preserve"> Evo Max 4T (</w:t>
      </w:r>
      <w:r w:rsidRPr="003A357D">
        <w:rPr>
          <w:sz w:val="28"/>
          <w:szCs w:val="24"/>
          <w:lang w:val="uk-UA"/>
        </w:rPr>
        <w:t>кількості 36 шт.</w:t>
      </w:r>
      <w:r w:rsidRPr="003A357D">
        <w:rPr>
          <w:sz w:val="28"/>
          <w:szCs w:val="24"/>
          <w:lang w:val="en-US"/>
        </w:rPr>
        <w:t>)</w:t>
      </w:r>
      <w:r w:rsidRPr="003A357D">
        <w:rPr>
          <w:sz w:val="28"/>
          <w:szCs w:val="24"/>
          <w:lang w:val="uk-UA"/>
        </w:rPr>
        <w:t>,</w:t>
      </w:r>
    </w:p>
    <w:p w14:paraId="4A307744" w14:textId="7B0504E1" w:rsidR="003A357D" w:rsidRDefault="003A357D" w:rsidP="003A357D">
      <w:pPr>
        <w:tabs>
          <w:tab w:val="left" w:pos="993"/>
        </w:tabs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uk-UA"/>
        </w:rPr>
        <w:t>-</w:t>
      </w:r>
      <w:r>
        <w:rPr>
          <w:sz w:val="28"/>
          <w:szCs w:val="24"/>
          <w:lang w:val="en-US"/>
        </w:rPr>
        <w:t xml:space="preserve"> RTK</w:t>
      </w:r>
      <w:r>
        <w:rPr>
          <w:sz w:val="28"/>
          <w:szCs w:val="24"/>
          <w:lang w:val="uk-UA"/>
        </w:rPr>
        <w:t xml:space="preserve"> модулі для </w:t>
      </w:r>
      <w:r w:rsidRPr="003A357D">
        <w:rPr>
          <w:sz w:val="28"/>
          <w:szCs w:val="24"/>
          <w:lang w:val="uk-UA"/>
        </w:rPr>
        <w:t xml:space="preserve">БПЛА </w:t>
      </w:r>
      <w:proofErr w:type="spellStart"/>
      <w:r w:rsidRPr="003A357D">
        <w:rPr>
          <w:sz w:val="28"/>
          <w:szCs w:val="24"/>
          <w:lang w:val="en-US"/>
        </w:rPr>
        <w:t>Autel</w:t>
      </w:r>
      <w:proofErr w:type="spellEnd"/>
      <w:r w:rsidRPr="003A357D">
        <w:rPr>
          <w:sz w:val="28"/>
          <w:szCs w:val="24"/>
          <w:lang w:val="en-US"/>
        </w:rPr>
        <w:t xml:space="preserve"> Evo Max 4T</w:t>
      </w:r>
      <w:r>
        <w:rPr>
          <w:sz w:val="28"/>
          <w:szCs w:val="24"/>
          <w:lang w:val="uk-UA"/>
        </w:rPr>
        <w:t xml:space="preserve"> </w:t>
      </w:r>
      <w:r w:rsidRPr="003A357D">
        <w:rPr>
          <w:sz w:val="28"/>
          <w:szCs w:val="24"/>
          <w:lang w:val="en-US"/>
        </w:rPr>
        <w:t>(</w:t>
      </w:r>
      <w:r w:rsidRPr="003A357D">
        <w:rPr>
          <w:sz w:val="28"/>
          <w:szCs w:val="24"/>
          <w:lang w:val="uk-UA"/>
        </w:rPr>
        <w:t xml:space="preserve">кількості </w:t>
      </w:r>
      <w:r>
        <w:rPr>
          <w:sz w:val="28"/>
          <w:szCs w:val="24"/>
          <w:lang w:val="uk-UA"/>
        </w:rPr>
        <w:t>12</w:t>
      </w:r>
      <w:r w:rsidRPr="003A357D">
        <w:rPr>
          <w:sz w:val="28"/>
          <w:szCs w:val="24"/>
          <w:lang w:val="uk-UA"/>
        </w:rPr>
        <w:t xml:space="preserve"> шт.</w:t>
      </w:r>
      <w:r w:rsidRPr="003A357D">
        <w:rPr>
          <w:sz w:val="28"/>
          <w:szCs w:val="24"/>
          <w:lang w:val="en-US"/>
        </w:rPr>
        <w:t xml:space="preserve">) </w:t>
      </w:r>
    </w:p>
    <w:p w14:paraId="2F755D34" w14:textId="77777777" w:rsidR="003A357D" w:rsidRDefault="003A357D" w:rsidP="003A357D">
      <w:pPr>
        <w:tabs>
          <w:tab w:val="left" w:pos="993"/>
        </w:tabs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uk-UA"/>
        </w:rPr>
        <w:t xml:space="preserve">- базова станція </w:t>
      </w:r>
      <w:r>
        <w:rPr>
          <w:sz w:val="28"/>
          <w:szCs w:val="24"/>
          <w:lang w:val="en-US"/>
        </w:rPr>
        <w:t>RTK</w:t>
      </w:r>
      <w:r>
        <w:rPr>
          <w:sz w:val="28"/>
          <w:szCs w:val="24"/>
          <w:lang w:val="uk-UA"/>
        </w:rPr>
        <w:t xml:space="preserve"> на основі </w:t>
      </w:r>
      <w:proofErr w:type="spellStart"/>
      <w:r>
        <w:rPr>
          <w:sz w:val="28"/>
          <w:szCs w:val="24"/>
          <w:lang w:val="uk-UA"/>
        </w:rPr>
        <w:t>чіпсету</w:t>
      </w:r>
      <w:proofErr w:type="spell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en-US"/>
        </w:rPr>
        <w:t>Septentrio</w:t>
      </w:r>
      <w:proofErr w:type="spellEnd"/>
      <w:r>
        <w:rPr>
          <w:sz w:val="28"/>
          <w:szCs w:val="24"/>
          <w:lang w:val="en-US"/>
        </w:rPr>
        <w:t xml:space="preserve"> mosaic-X5 </w:t>
      </w:r>
      <w:r w:rsidRPr="003A357D">
        <w:rPr>
          <w:sz w:val="28"/>
          <w:szCs w:val="24"/>
          <w:lang w:val="en-US"/>
        </w:rPr>
        <w:t>(</w:t>
      </w:r>
      <w:r w:rsidRPr="003A357D">
        <w:rPr>
          <w:sz w:val="28"/>
          <w:szCs w:val="24"/>
          <w:lang w:val="uk-UA"/>
        </w:rPr>
        <w:t xml:space="preserve">кількості </w:t>
      </w:r>
      <w:r>
        <w:rPr>
          <w:sz w:val="28"/>
          <w:szCs w:val="24"/>
          <w:lang w:val="en-US"/>
        </w:rPr>
        <w:t>12</w:t>
      </w:r>
      <w:r w:rsidRPr="003A357D">
        <w:rPr>
          <w:sz w:val="28"/>
          <w:szCs w:val="24"/>
          <w:lang w:val="uk-UA"/>
        </w:rPr>
        <w:t xml:space="preserve"> шт.</w:t>
      </w:r>
      <w:r w:rsidRPr="003A357D">
        <w:rPr>
          <w:sz w:val="28"/>
          <w:szCs w:val="24"/>
          <w:lang w:val="en-US"/>
        </w:rPr>
        <w:t>)</w:t>
      </w:r>
    </w:p>
    <w:p w14:paraId="639AFCAA" w14:textId="4BDBEAE9" w:rsidR="003A357D" w:rsidRPr="003A357D" w:rsidRDefault="003A357D" w:rsidP="003A357D">
      <w:pPr>
        <w:tabs>
          <w:tab w:val="left" w:pos="993"/>
        </w:tabs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en-US"/>
        </w:rPr>
        <w:t xml:space="preserve">- </w:t>
      </w:r>
      <w:r>
        <w:rPr>
          <w:sz w:val="28"/>
          <w:szCs w:val="24"/>
          <w:lang w:val="uk-UA"/>
        </w:rPr>
        <w:t>комплект</w:t>
      </w:r>
      <w:r>
        <w:rPr>
          <w:sz w:val="28"/>
          <w:szCs w:val="24"/>
          <w:lang w:val="en-US"/>
        </w:rPr>
        <w:t xml:space="preserve"> RTK</w:t>
      </w:r>
      <w:r>
        <w:rPr>
          <w:sz w:val="28"/>
          <w:szCs w:val="24"/>
          <w:lang w:val="uk-UA"/>
        </w:rPr>
        <w:t xml:space="preserve"> обладнання (</w:t>
      </w:r>
      <w:proofErr w:type="spellStart"/>
      <w:r>
        <w:rPr>
          <w:sz w:val="28"/>
          <w:szCs w:val="24"/>
          <w:lang w:val="uk-UA"/>
        </w:rPr>
        <w:t>база+ровер</w:t>
      </w:r>
      <w:proofErr w:type="spellEnd"/>
      <w:r>
        <w:rPr>
          <w:sz w:val="28"/>
          <w:szCs w:val="24"/>
          <w:lang w:val="uk-UA"/>
        </w:rPr>
        <w:t xml:space="preserve">) на основі </w:t>
      </w:r>
      <w:proofErr w:type="spellStart"/>
      <w:r>
        <w:rPr>
          <w:sz w:val="28"/>
          <w:szCs w:val="24"/>
          <w:lang w:val="uk-UA"/>
        </w:rPr>
        <w:t>чіпсету</w:t>
      </w:r>
      <w:proofErr w:type="spellEnd"/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en-US"/>
        </w:rPr>
        <w:t>Ublox</w:t>
      </w:r>
      <w:proofErr w:type="spellEnd"/>
      <w:r>
        <w:rPr>
          <w:sz w:val="28"/>
          <w:szCs w:val="24"/>
          <w:lang w:val="en-US"/>
        </w:rPr>
        <w:t xml:space="preserve"> ZED-F9P </w:t>
      </w:r>
      <w:r w:rsidRPr="003A357D">
        <w:rPr>
          <w:sz w:val="28"/>
          <w:szCs w:val="24"/>
          <w:lang w:val="en-US"/>
        </w:rPr>
        <w:t>(</w:t>
      </w:r>
      <w:r w:rsidRPr="003A357D">
        <w:rPr>
          <w:sz w:val="28"/>
          <w:szCs w:val="24"/>
          <w:lang w:val="uk-UA"/>
        </w:rPr>
        <w:t>кількості 6 шт.</w:t>
      </w:r>
      <w:r w:rsidRPr="003A357D">
        <w:rPr>
          <w:sz w:val="28"/>
          <w:szCs w:val="24"/>
          <w:lang w:val="en-US"/>
        </w:rPr>
        <w:t>)</w:t>
      </w:r>
      <w:r>
        <w:rPr>
          <w:sz w:val="28"/>
          <w:szCs w:val="24"/>
          <w:lang w:val="uk-UA"/>
        </w:rPr>
        <w:t xml:space="preserve">  з обсягом фінансування 400,0 тис. грн.</w:t>
      </w:r>
    </w:p>
    <w:p w14:paraId="21347B4D" w14:textId="1DA312AF" w:rsidR="00EE6AE3" w:rsidRPr="000C5D75" w:rsidRDefault="00EE6AE3" w:rsidP="00EE6AE3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</w:tabs>
        <w:overflowPunct/>
        <w:autoSpaceDE/>
        <w:autoSpaceDN/>
        <w:adjustRightInd/>
        <w:spacing w:line="322" w:lineRule="exact"/>
        <w:ind w:left="0" w:right="-55" w:firstLine="36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пункті</w:t>
      </w:r>
      <w:proofErr w:type="spellEnd"/>
      <w:r w:rsidRPr="000C5D75">
        <w:rPr>
          <w:sz w:val="28"/>
          <w:szCs w:val="28"/>
        </w:rPr>
        <w:t xml:space="preserve"> 7 «</w:t>
      </w:r>
      <w:proofErr w:type="spellStart"/>
      <w:r w:rsidRPr="000C5D75">
        <w:rPr>
          <w:sz w:val="28"/>
          <w:szCs w:val="28"/>
        </w:rPr>
        <w:t>Загальний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обсяг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фінансових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ресурсів</w:t>
      </w:r>
      <w:proofErr w:type="spellEnd"/>
      <w:r w:rsidRPr="000C5D75">
        <w:rPr>
          <w:sz w:val="28"/>
          <w:szCs w:val="28"/>
        </w:rPr>
        <w:t xml:space="preserve">, </w:t>
      </w:r>
      <w:proofErr w:type="spellStart"/>
      <w:r w:rsidRPr="000C5D75">
        <w:rPr>
          <w:sz w:val="28"/>
          <w:szCs w:val="28"/>
        </w:rPr>
        <w:t>необхідних</w:t>
      </w:r>
      <w:proofErr w:type="spellEnd"/>
      <w:r w:rsidRPr="000C5D75">
        <w:rPr>
          <w:sz w:val="28"/>
          <w:szCs w:val="28"/>
        </w:rPr>
        <w:t xml:space="preserve"> для </w:t>
      </w:r>
      <w:proofErr w:type="spellStart"/>
      <w:r w:rsidRPr="000C5D75">
        <w:rPr>
          <w:sz w:val="28"/>
          <w:szCs w:val="28"/>
        </w:rPr>
        <w:t>реалізації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» Паспорту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 су</w:t>
      </w:r>
      <w:r>
        <w:rPr>
          <w:sz w:val="28"/>
          <w:szCs w:val="28"/>
        </w:rPr>
        <w:t>му</w:t>
      </w:r>
      <w:r w:rsidR="00FE1AF7">
        <w:rPr>
          <w:sz w:val="28"/>
          <w:szCs w:val="28"/>
          <w:lang w:val="uk-UA"/>
        </w:rPr>
        <w:t xml:space="preserve"> </w:t>
      </w:r>
      <w:r w:rsidR="00FE1AF7" w:rsidRPr="00FE1AF7">
        <w:rPr>
          <w:sz w:val="28"/>
          <w:szCs w:val="28"/>
          <w:lang w:val="uk-UA"/>
        </w:rPr>
        <w:t>4797,0</w:t>
      </w:r>
      <w:r w:rsidR="00FE1A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замінити</w:t>
      </w:r>
      <w:proofErr w:type="spellEnd"/>
      <w:r>
        <w:rPr>
          <w:sz w:val="28"/>
          <w:szCs w:val="28"/>
        </w:rPr>
        <w:t xml:space="preserve"> на </w:t>
      </w:r>
      <w:r w:rsidR="00A348D4">
        <w:rPr>
          <w:sz w:val="28"/>
          <w:szCs w:val="28"/>
        </w:rPr>
        <w:br/>
      </w:r>
      <w:r w:rsidR="00FE1AF7">
        <w:rPr>
          <w:sz w:val="28"/>
          <w:szCs w:val="28"/>
          <w:lang w:val="uk-UA"/>
        </w:rPr>
        <w:t>5232,832</w:t>
      </w:r>
      <w:r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тис.грн</w:t>
      </w:r>
      <w:proofErr w:type="spellEnd"/>
      <w:r w:rsidRPr="000C5D75">
        <w:rPr>
          <w:sz w:val="28"/>
          <w:szCs w:val="28"/>
        </w:rPr>
        <w:t>.</w:t>
      </w:r>
    </w:p>
    <w:p w14:paraId="7F927EE0" w14:textId="77777777" w:rsidR="000E2D20" w:rsidRDefault="000E2D20" w:rsidP="000E2D20">
      <w:pPr>
        <w:jc w:val="both"/>
        <w:rPr>
          <w:sz w:val="28"/>
          <w:szCs w:val="28"/>
          <w:lang w:val="uk-UA"/>
        </w:rPr>
      </w:pPr>
    </w:p>
    <w:p w14:paraId="321A411A" w14:textId="77777777" w:rsidR="000E2D20" w:rsidRDefault="000E2D20" w:rsidP="000E2D20">
      <w:pPr>
        <w:jc w:val="both"/>
        <w:rPr>
          <w:sz w:val="28"/>
          <w:szCs w:val="28"/>
          <w:lang w:val="uk-UA"/>
        </w:rPr>
      </w:pPr>
    </w:p>
    <w:p w14:paraId="34404150" w14:textId="77777777" w:rsidR="000E2D20" w:rsidRDefault="000E2D20" w:rsidP="000E2D20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315E33C5" w14:textId="77777777" w:rsidR="005D3A26" w:rsidRDefault="005D3A26"/>
    <w:sectPr w:rsidR="005D3A26" w:rsidSect="008808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01EC" w14:textId="77777777" w:rsidR="00120389" w:rsidRDefault="00120389" w:rsidP="00880807">
      <w:r>
        <w:separator/>
      </w:r>
    </w:p>
  </w:endnote>
  <w:endnote w:type="continuationSeparator" w:id="0">
    <w:p w14:paraId="186AE6C3" w14:textId="77777777" w:rsidR="00120389" w:rsidRDefault="00120389" w:rsidP="0088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C259" w14:textId="77777777" w:rsidR="00120389" w:rsidRDefault="00120389" w:rsidP="00880807">
      <w:r>
        <w:separator/>
      </w:r>
    </w:p>
  </w:footnote>
  <w:footnote w:type="continuationSeparator" w:id="0">
    <w:p w14:paraId="69591F3D" w14:textId="77777777" w:rsidR="00120389" w:rsidRDefault="00120389" w:rsidP="0088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390489"/>
      <w:docPartObj>
        <w:docPartGallery w:val="Page Numbers (Top of Page)"/>
        <w:docPartUnique/>
      </w:docPartObj>
    </w:sdtPr>
    <w:sdtEndPr/>
    <w:sdtContent>
      <w:p w14:paraId="15BAE88F" w14:textId="2DBC0F90" w:rsidR="00880807" w:rsidRDefault="008808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99B" w:rsidRPr="004D699B">
          <w:rPr>
            <w:noProof/>
            <w:lang w:val="uk-UA"/>
          </w:rPr>
          <w:t>2</w:t>
        </w:r>
        <w:r>
          <w:fldChar w:fldCharType="end"/>
        </w:r>
      </w:p>
    </w:sdtContent>
  </w:sdt>
  <w:p w14:paraId="2965BB19" w14:textId="77777777" w:rsidR="00880807" w:rsidRDefault="00880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D20"/>
    <w:rsid w:val="00000A67"/>
    <w:rsid w:val="000055B1"/>
    <w:rsid w:val="0001050F"/>
    <w:rsid w:val="000E2D20"/>
    <w:rsid w:val="00120389"/>
    <w:rsid w:val="001C2C09"/>
    <w:rsid w:val="002A32D4"/>
    <w:rsid w:val="003A357D"/>
    <w:rsid w:val="004D699B"/>
    <w:rsid w:val="005D3A26"/>
    <w:rsid w:val="006E0C58"/>
    <w:rsid w:val="007003DC"/>
    <w:rsid w:val="00712E77"/>
    <w:rsid w:val="0085317F"/>
    <w:rsid w:val="00880807"/>
    <w:rsid w:val="009F5F84"/>
    <w:rsid w:val="00A348D4"/>
    <w:rsid w:val="00B13D57"/>
    <w:rsid w:val="00B73E65"/>
    <w:rsid w:val="00C45A89"/>
    <w:rsid w:val="00DB3AA6"/>
    <w:rsid w:val="00E1458B"/>
    <w:rsid w:val="00EB1F41"/>
    <w:rsid w:val="00EE6AE3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89B0"/>
  <w15:docId w15:val="{BA50AA3D-772D-43BB-8AA1-0E296835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20"/>
    <w:pPr>
      <w:ind w:left="720"/>
    </w:pPr>
  </w:style>
  <w:style w:type="character" w:styleId="a4">
    <w:name w:val="Strong"/>
    <w:qFormat/>
    <w:rsid w:val="000E2D20"/>
    <w:rPr>
      <w:b/>
      <w:bCs/>
    </w:rPr>
  </w:style>
  <w:style w:type="paragraph" w:styleId="a5">
    <w:name w:val="No Spacing"/>
    <w:uiPriority w:val="1"/>
    <w:qFormat/>
    <w:rsid w:val="000E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808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808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808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808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12E7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12E7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11</cp:revision>
  <cp:lastPrinted>2025-06-24T08:43:00Z</cp:lastPrinted>
  <dcterms:created xsi:type="dcterms:W3CDTF">2025-05-26T07:12:00Z</dcterms:created>
  <dcterms:modified xsi:type="dcterms:W3CDTF">2025-06-24T08:52:00Z</dcterms:modified>
</cp:coreProperties>
</file>