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5AEBC" w14:textId="77777777" w:rsidR="004D7C50" w:rsidRPr="00617D33" w:rsidRDefault="004D7C50" w:rsidP="004D7C5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95D18EC" w14:textId="77777777" w:rsidR="004D7C50" w:rsidRPr="00617D33" w:rsidRDefault="004D7C50" w:rsidP="004D7C5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4CF484BC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B94F8A3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D1364F8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31C23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E0A99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29170D">
        <w:rPr>
          <w:rFonts w:ascii="Times New Roman" w:hAnsi="Times New Roman"/>
          <w:b/>
          <w:sz w:val="28"/>
          <w:szCs w:val="28"/>
          <w:u w:val="single"/>
          <w:lang w:val="uk-UA"/>
        </w:rPr>
        <w:t>40</w:t>
      </w:r>
    </w:p>
    <w:p w14:paraId="6C15838A" w14:textId="645E4587" w:rsidR="009B1A3B" w:rsidRPr="007C27A8" w:rsidRDefault="004D7C50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7C50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6EEAA6D6" w14:textId="77777777" w:rsidTr="00FE2188">
        <w:trPr>
          <w:trHeight w:val="537"/>
        </w:trPr>
        <w:tc>
          <w:tcPr>
            <w:tcW w:w="9925" w:type="dxa"/>
            <w:gridSpan w:val="3"/>
          </w:tcPr>
          <w:p w14:paraId="1064324E" w14:textId="610BCF1F" w:rsidR="00C83615" w:rsidRPr="007C27A8" w:rsidRDefault="000E760B" w:rsidP="0059365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</w:p>
        </w:tc>
      </w:tr>
      <w:tr w:rsidR="000E760B" w:rsidRPr="007C27A8" w14:paraId="54B9C2C1" w14:textId="77777777" w:rsidTr="00F17CDE">
        <w:trPr>
          <w:trHeight w:val="604"/>
        </w:trPr>
        <w:tc>
          <w:tcPr>
            <w:tcW w:w="516" w:type="dxa"/>
          </w:tcPr>
          <w:p w14:paraId="3B0F4B0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54BE9CAB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F8D2463" w14:textId="4086A124" w:rsidR="000E760B" w:rsidRPr="007C27A8" w:rsidRDefault="009C58D2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729D0B1E" w14:textId="77777777" w:rsidTr="00F17CDE">
        <w:trPr>
          <w:trHeight w:val="1035"/>
        </w:trPr>
        <w:tc>
          <w:tcPr>
            <w:tcW w:w="516" w:type="dxa"/>
          </w:tcPr>
          <w:p w14:paraId="75714951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6169526" w14:textId="30FB1ABB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A433DA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0A500339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3A986777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03C61E32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62810F19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0C2D0EFF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37A5091B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515B1AB0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2F1BAF86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54297C7F" w14:textId="77777777" w:rsidR="009C58D2" w:rsidRDefault="009C58D2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4DEC0588" w14:textId="569A05A7" w:rsidR="003D434F" w:rsidRPr="007C27A8" w:rsidRDefault="009C58D2" w:rsidP="00005691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4D7C50" w14:paraId="75AEE93B" w14:textId="77777777" w:rsidTr="00A47518">
        <w:trPr>
          <w:trHeight w:val="854"/>
        </w:trPr>
        <w:tc>
          <w:tcPr>
            <w:tcW w:w="516" w:type="dxa"/>
          </w:tcPr>
          <w:p w14:paraId="0DC08080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2D0E790E" w14:textId="7B45268C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Телефон/факс (довідки), адреса електронної пошти </w:t>
            </w:r>
          </w:p>
          <w:p w14:paraId="1F46DDA9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3C51AB0" w14:textId="4699948F" w:rsidR="009C58D2" w:rsidRDefault="00005691" w:rsidP="009C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A433DA">
              <w:rPr>
                <w:rFonts w:ascii="Times New Roman" w:hAnsi="Times New Roman"/>
              </w:rPr>
              <w:t>ел. (097) 1</w:t>
            </w:r>
            <w:r w:rsidR="009C58D2">
              <w:rPr>
                <w:rFonts w:ascii="Times New Roman" w:hAnsi="Times New Roman"/>
              </w:rPr>
              <w:t>755620</w:t>
            </w:r>
          </w:p>
          <w:p w14:paraId="5094C0A2" w14:textId="7D2F7ECE" w:rsidR="007C5336" w:rsidRPr="007C27A8" w:rsidRDefault="009C58D2" w:rsidP="00005691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4D7C50" w14:paraId="0AC0DE45" w14:textId="77777777" w:rsidTr="00C33674">
        <w:trPr>
          <w:trHeight w:val="1245"/>
        </w:trPr>
        <w:tc>
          <w:tcPr>
            <w:tcW w:w="9925" w:type="dxa"/>
            <w:gridSpan w:val="3"/>
          </w:tcPr>
          <w:p w14:paraId="0C6FCC63" w14:textId="4B8064DB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</w:t>
            </w:r>
          </w:p>
          <w:p w14:paraId="38009E2C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</w:t>
            </w:r>
            <w:bookmarkStart w:id="0" w:name="_GoBack"/>
            <w:bookmarkEnd w:id="0"/>
            <w:r w:rsidRPr="007C27A8">
              <w:rPr>
                <w:rFonts w:ascii="Times New Roman" w:hAnsi="Times New Roman"/>
                <w:b/>
                <w:lang w:val="uk-UA"/>
              </w:rPr>
              <w:t>хітектури та містобудування України (ДІАМ)</w:t>
            </w:r>
          </w:p>
        </w:tc>
      </w:tr>
      <w:tr w:rsidR="00F17CDE" w:rsidRPr="004D7C50" w14:paraId="6482C0B1" w14:textId="77777777" w:rsidTr="00F17CDE">
        <w:trPr>
          <w:trHeight w:val="586"/>
        </w:trPr>
        <w:tc>
          <w:tcPr>
            <w:tcW w:w="516" w:type="dxa"/>
          </w:tcPr>
          <w:p w14:paraId="241BC03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7A95B2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71A3C29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BFCBABD" w14:textId="77777777" w:rsidTr="00F17CDE">
        <w:trPr>
          <w:trHeight w:val="745"/>
        </w:trPr>
        <w:tc>
          <w:tcPr>
            <w:tcW w:w="516" w:type="dxa"/>
          </w:tcPr>
          <w:p w14:paraId="0727314D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059B192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20161A" w14:textId="28C4C708" w:rsidR="00F17CDE" w:rsidRPr="007C27A8" w:rsidRDefault="004D7C5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820FFE8" w14:textId="77777777" w:rsidTr="00FE2188">
        <w:trPr>
          <w:trHeight w:val="420"/>
        </w:trPr>
        <w:tc>
          <w:tcPr>
            <w:tcW w:w="9925" w:type="dxa"/>
            <w:gridSpan w:val="3"/>
          </w:tcPr>
          <w:p w14:paraId="1994AF97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5805230E" w14:textId="77777777" w:rsidTr="00F17CDE">
        <w:trPr>
          <w:trHeight w:val="617"/>
        </w:trPr>
        <w:tc>
          <w:tcPr>
            <w:tcW w:w="516" w:type="dxa"/>
          </w:tcPr>
          <w:p w14:paraId="25064F22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69BE5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4467AA82" w14:textId="35B034EF" w:rsidR="00B858C3" w:rsidRPr="007C27A8" w:rsidRDefault="004D7C50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4D7C50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D7C50">
              <w:rPr>
                <w:rFonts w:ascii="Times New Roman" w:hAnsi="Times New Roman"/>
                <w:lang w:val="uk-UA"/>
              </w:rPr>
              <w:t xml:space="preserve"> .</w:t>
            </w:r>
          </w:p>
        </w:tc>
      </w:tr>
      <w:tr w:rsidR="00B858C3" w:rsidRPr="004D7C50" w14:paraId="5BDD319E" w14:textId="77777777" w:rsidTr="00F17CDE">
        <w:trPr>
          <w:trHeight w:val="649"/>
        </w:trPr>
        <w:tc>
          <w:tcPr>
            <w:tcW w:w="516" w:type="dxa"/>
          </w:tcPr>
          <w:p w14:paraId="581EA42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A8C64BB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499FD3C5" w14:textId="77777777" w:rsidR="004D7C50" w:rsidRDefault="004D7C50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461 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 редакції постанови Кабінету Міністрів України від 08 вересня 2015 р. </w:t>
            </w:r>
            <w:r>
              <w:rPr>
                <w:rFonts w:ascii="Times New Roman" w:hAnsi="Times New Roman"/>
                <w:color w:val="000000"/>
                <w:lang w:val="uk-UA"/>
              </w:rPr>
              <w:t>№ 750)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Питання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прийняття в експлуатацію закінчених будівництвом об'єктів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003A3A4D" w14:textId="77777777" w:rsidR="004D7C50" w:rsidRDefault="004D7C50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557A9CC6" w14:textId="138C1625" w:rsidR="003D434F" w:rsidRPr="007C27A8" w:rsidRDefault="004D7C50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00140.</w:t>
            </w:r>
          </w:p>
        </w:tc>
      </w:tr>
      <w:tr w:rsidR="00BD3490" w:rsidRPr="007C27A8" w14:paraId="122EE180" w14:textId="77777777" w:rsidTr="00FE2188">
        <w:trPr>
          <w:trHeight w:val="465"/>
        </w:trPr>
        <w:tc>
          <w:tcPr>
            <w:tcW w:w="9925" w:type="dxa"/>
            <w:gridSpan w:val="3"/>
          </w:tcPr>
          <w:p w14:paraId="6B2C00FD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4D7C50" w14:paraId="68B25C03" w14:textId="77777777" w:rsidTr="00F17CDE">
        <w:trPr>
          <w:trHeight w:val="750"/>
        </w:trPr>
        <w:tc>
          <w:tcPr>
            <w:tcW w:w="516" w:type="dxa"/>
          </w:tcPr>
          <w:p w14:paraId="2B8D9B15" w14:textId="549DD547" w:rsidR="00FE2188" w:rsidRPr="007C27A8" w:rsidRDefault="00593653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116" w:type="dxa"/>
          </w:tcPr>
          <w:p w14:paraId="72833537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2E9D6EDA" w14:textId="31AA989A" w:rsidR="00997DA7" w:rsidRPr="007C27A8" w:rsidRDefault="004D7C50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4D7C50" w14:paraId="30B604D0" w14:textId="77777777" w:rsidTr="00F17CDE">
        <w:trPr>
          <w:trHeight w:val="1691"/>
        </w:trPr>
        <w:tc>
          <w:tcPr>
            <w:tcW w:w="516" w:type="dxa"/>
          </w:tcPr>
          <w:p w14:paraId="1D80CF7C" w14:textId="2CF6E266" w:rsidR="00B858C3" w:rsidRPr="007C27A8" w:rsidRDefault="005936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1A48D34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2105045" w14:textId="77777777" w:rsidR="004D7C50" w:rsidRPr="004D7C50" w:rsidRDefault="004D7C50" w:rsidP="004D7C50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 із виправленими (достовірними) даними щодо інформації, яка потребує змін.</w:t>
            </w:r>
          </w:p>
          <w:p w14:paraId="16E42DA7" w14:textId="77777777" w:rsidR="004D7C50" w:rsidRPr="004D7C50" w:rsidRDefault="004D7C50" w:rsidP="004D7C50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6F0F156E" w14:textId="4AB81731" w:rsidR="00B858C3" w:rsidRPr="007C27A8" w:rsidRDefault="004D7C50" w:rsidP="004D7C50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06266007" w14:textId="77777777" w:rsidTr="00F17CDE">
        <w:trPr>
          <w:trHeight w:val="557"/>
        </w:trPr>
        <w:tc>
          <w:tcPr>
            <w:tcW w:w="516" w:type="dxa"/>
          </w:tcPr>
          <w:p w14:paraId="51E3701C" w14:textId="3D673F39" w:rsidR="00B858C3" w:rsidRPr="007C27A8" w:rsidRDefault="005936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D50C621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3FBF2B2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72E32C8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53949509" w14:textId="539A72AD" w:rsidR="00B858C3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0DC013A" w14:textId="77777777" w:rsidTr="00F17CDE">
        <w:trPr>
          <w:trHeight w:val="486"/>
        </w:trPr>
        <w:tc>
          <w:tcPr>
            <w:tcW w:w="516" w:type="dxa"/>
          </w:tcPr>
          <w:p w14:paraId="093E9349" w14:textId="6A9F308F" w:rsidR="00B858C3" w:rsidRPr="007C27A8" w:rsidRDefault="005936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0A5077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61C906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4D7C50" w14:paraId="247E05F1" w14:textId="77777777" w:rsidTr="00F17CDE">
        <w:trPr>
          <w:trHeight w:val="705"/>
        </w:trPr>
        <w:tc>
          <w:tcPr>
            <w:tcW w:w="516" w:type="dxa"/>
          </w:tcPr>
          <w:p w14:paraId="7327F10C" w14:textId="2BA22D45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593653">
              <w:rPr>
                <w:rFonts w:ascii="Times New Roman" w:hAnsi="Times New Roman"/>
                <w:lang w:val="uk-UA"/>
              </w:rPr>
              <w:t>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E57578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68C03E3" w14:textId="5A925C99" w:rsidR="00B858C3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Три робочих дні.</w:t>
            </w:r>
          </w:p>
        </w:tc>
      </w:tr>
      <w:tr w:rsidR="00B858C3" w:rsidRPr="007C27A8" w14:paraId="7916B94B" w14:textId="77777777" w:rsidTr="00F41B79">
        <w:trPr>
          <w:trHeight w:val="720"/>
        </w:trPr>
        <w:tc>
          <w:tcPr>
            <w:tcW w:w="516" w:type="dxa"/>
          </w:tcPr>
          <w:p w14:paraId="11B6A64D" w14:textId="7F489AE2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593653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71690D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7BF8324" w14:textId="6FC872C9" w:rsidR="00B858C3" w:rsidRPr="007C27A8" w:rsidRDefault="004D7C50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Відсутні</w:t>
            </w:r>
            <w:r w:rsidRPr="004D7C50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D7C50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33012758" w14:textId="77777777" w:rsidTr="00F17CDE">
        <w:trPr>
          <w:trHeight w:val="655"/>
        </w:trPr>
        <w:tc>
          <w:tcPr>
            <w:tcW w:w="516" w:type="dxa"/>
          </w:tcPr>
          <w:p w14:paraId="77CF5B71" w14:textId="1F7CB53D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593653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8F3FF2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EC0179" w14:textId="5A0BB112" w:rsidR="00B858C3" w:rsidRPr="007C27A8" w:rsidRDefault="004D7C50" w:rsidP="0029170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Внесення інформації, зазначеної у декларації, до Реєстру будівельної діяльності.</w:t>
            </w:r>
          </w:p>
        </w:tc>
      </w:tr>
      <w:tr w:rsidR="00B858C3" w:rsidRPr="004D7C50" w14:paraId="12795483" w14:textId="77777777" w:rsidTr="00F17CDE">
        <w:trPr>
          <w:trHeight w:val="645"/>
        </w:trPr>
        <w:tc>
          <w:tcPr>
            <w:tcW w:w="516" w:type="dxa"/>
          </w:tcPr>
          <w:p w14:paraId="4E4F3123" w14:textId="3AB06113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593653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F1CF83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2D4778C8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9005051" w14:textId="42883DE5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4D7C50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F865F2C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lastRenderedPageBreak/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0658A9DE" w14:textId="170FADAC" w:rsidR="005F75C1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4D7C50" w14:paraId="7DEAB463" w14:textId="77777777" w:rsidTr="00F17CDE">
        <w:trPr>
          <w:trHeight w:val="645"/>
        </w:trPr>
        <w:tc>
          <w:tcPr>
            <w:tcW w:w="516" w:type="dxa"/>
          </w:tcPr>
          <w:p w14:paraId="53ABD52B" w14:textId="66BC2C1B" w:rsidR="00F41B79" w:rsidRPr="007C27A8" w:rsidRDefault="005936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16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1DB994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3A07664" w14:textId="418CED46" w:rsidR="00F41B79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Подання документів з порушенням вимог, визначених статтею 26</w:t>
            </w: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301746E8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807FF63" w14:textId="77777777" w:rsidR="009B1A3B" w:rsidRPr="007C27A8" w:rsidRDefault="009B1A3B" w:rsidP="00EE7239">
      <w:pPr>
        <w:tabs>
          <w:tab w:val="left" w:pos="1650"/>
        </w:tabs>
        <w:ind w:left="4140"/>
        <w:rPr>
          <w:rFonts w:ascii="Times New Roman" w:hAnsi="Times New Roman"/>
          <w:sz w:val="6"/>
          <w:szCs w:val="6"/>
          <w:lang w:val="uk-UA"/>
        </w:rPr>
      </w:pPr>
    </w:p>
    <w:sectPr w:rsidR="009B1A3B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318C" w14:textId="77777777" w:rsidR="007F5581" w:rsidRDefault="007F5581" w:rsidP="002C0E76">
      <w:r>
        <w:separator/>
      </w:r>
    </w:p>
  </w:endnote>
  <w:endnote w:type="continuationSeparator" w:id="0">
    <w:p w14:paraId="05E5F623" w14:textId="77777777" w:rsidR="007F5581" w:rsidRDefault="007F5581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C152" w14:textId="77777777" w:rsidR="007F5581" w:rsidRDefault="007F5581" w:rsidP="002C0E76">
      <w:r>
        <w:separator/>
      </w:r>
    </w:p>
  </w:footnote>
  <w:footnote w:type="continuationSeparator" w:id="0">
    <w:p w14:paraId="5AFBBCE9" w14:textId="77777777" w:rsidR="007F5581" w:rsidRDefault="007F5581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691"/>
    <w:rsid w:val="00005CF5"/>
    <w:rsid w:val="0004779F"/>
    <w:rsid w:val="000530D1"/>
    <w:rsid w:val="000A5604"/>
    <w:rsid w:val="000B46D8"/>
    <w:rsid w:val="000C6667"/>
    <w:rsid w:val="000D055E"/>
    <w:rsid w:val="000D27B6"/>
    <w:rsid w:val="000D7E00"/>
    <w:rsid w:val="000E0A99"/>
    <w:rsid w:val="000E6E31"/>
    <w:rsid w:val="000E760B"/>
    <w:rsid w:val="000F6276"/>
    <w:rsid w:val="00134A7B"/>
    <w:rsid w:val="00180F1C"/>
    <w:rsid w:val="00200A1B"/>
    <w:rsid w:val="00243DAA"/>
    <w:rsid w:val="00251CB6"/>
    <w:rsid w:val="002522C9"/>
    <w:rsid w:val="002601B2"/>
    <w:rsid w:val="00281CA2"/>
    <w:rsid w:val="0029170D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93D31"/>
    <w:rsid w:val="004D7C50"/>
    <w:rsid w:val="005151DD"/>
    <w:rsid w:val="00551951"/>
    <w:rsid w:val="00574ABA"/>
    <w:rsid w:val="005775A7"/>
    <w:rsid w:val="00593653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A3800"/>
    <w:rsid w:val="007B2C40"/>
    <w:rsid w:val="007C27A8"/>
    <w:rsid w:val="007C5336"/>
    <w:rsid w:val="007C6B54"/>
    <w:rsid w:val="007D7B84"/>
    <w:rsid w:val="007E7D9B"/>
    <w:rsid w:val="007F5581"/>
    <w:rsid w:val="008009AA"/>
    <w:rsid w:val="00837C97"/>
    <w:rsid w:val="00841FC1"/>
    <w:rsid w:val="0088106E"/>
    <w:rsid w:val="00891574"/>
    <w:rsid w:val="008A1BD7"/>
    <w:rsid w:val="008D2090"/>
    <w:rsid w:val="008F7A08"/>
    <w:rsid w:val="00904FB1"/>
    <w:rsid w:val="00931C23"/>
    <w:rsid w:val="00955B90"/>
    <w:rsid w:val="00970996"/>
    <w:rsid w:val="00997DA7"/>
    <w:rsid w:val="009A298C"/>
    <w:rsid w:val="009B1A3B"/>
    <w:rsid w:val="009C58D2"/>
    <w:rsid w:val="009F2712"/>
    <w:rsid w:val="00A433DA"/>
    <w:rsid w:val="00A47518"/>
    <w:rsid w:val="00A71197"/>
    <w:rsid w:val="00A829D8"/>
    <w:rsid w:val="00AB0FDA"/>
    <w:rsid w:val="00AC03F0"/>
    <w:rsid w:val="00AC3A0A"/>
    <w:rsid w:val="00B1172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B2384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0780F"/>
    <w:rsid w:val="00F17CDE"/>
    <w:rsid w:val="00F230F2"/>
    <w:rsid w:val="00F41B79"/>
    <w:rsid w:val="00F64B8E"/>
    <w:rsid w:val="00F670EB"/>
    <w:rsid w:val="00FD4E1F"/>
    <w:rsid w:val="00FD7F27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210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b">
    <w:name w:val="Нормальний текст"/>
    <w:basedOn w:val="a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c">
    <w:name w:val="Шапка документу"/>
    <w:basedOn w:val="a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Назва документа"/>
    <w:basedOn w:val="a"/>
    <w:next w:val="afb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rsid w:val="00EE7239"/>
    <w:rPr>
      <w:color w:val="000000"/>
    </w:rPr>
  </w:style>
  <w:style w:type="paragraph" w:styleId="afe">
    <w:name w:val="endnote text"/>
    <w:basedOn w:val="a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кінцевої виноски Знак"/>
    <w:basedOn w:val="a0"/>
    <w:link w:val="afe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D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12</cp:revision>
  <dcterms:created xsi:type="dcterms:W3CDTF">2023-04-12T09:32:00Z</dcterms:created>
  <dcterms:modified xsi:type="dcterms:W3CDTF">2025-01-15T12:42:00Z</dcterms:modified>
</cp:coreProperties>
</file>