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41642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3C6B">
        <w:rPr>
          <w:rFonts w:ascii="Times New Roman" w:hAnsi="Times New Roman"/>
          <w:color w:val="000000"/>
          <w:sz w:val="28"/>
          <w:szCs w:val="28"/>
          <w:lang w:eastAsia="uk-UA"/>
        </w:rPr>
        <w:t>10926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19D3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5ABB">
        <w:rPr>
          <w:rFonts w:ascii="Times New Roman" w:hAnsi="Times New Roman"/>
          <w:sz w:val="28"/>
          <w:szCs w:val="28"/>
        </w:rPr>
        <w:t>Лотоцькій С.В</w:t>
      </w:r>
      <w:r w:rsidR="0020347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625BA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15ABB">
        <w:rPr>
          <w:rFonts w:ascii="Times New Roman" w:hAnsi="Times New Roman"/>
          <w:sz w:val="28"/>
          <w:szCs w:val="28"/>
          <w:lang w:eastAsia="uk-UA"/>
        </w:rPr>
        <w:t>Лотоцької Світлани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061D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Лотоцькій Світлані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E190C">
        <w:rPr>
          <w:rFonts w:ascii="Times New Roman" w:hAnsi="Times New Roman"/>
          <w:sz w:val="28"/>
          <w:szCs w:val="28"/>
          <w:lang w:eastAsia="uk-UA"/>
        </w:rPr>
        <w:t xml:space="preserve"> площею 0,27</w:t>
      </w:r>
      <w:r w:rsidR="00D15A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E190C">
        <w:rPr>
          <w:rFonts w:ascii="Times New Roman" w:hAnsi="Times New Roman"/>
          <w:sz w:val="28"/>
          <w:szCs w:val="28"/>
          <w:lang w:eastAsia="uk-UA"/>
        </w:rPr>
        <w:t>715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3574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5ABB">
        <w:rPr>
          <w:rFonts w:ascii="Times New Roman" w:hAnsi="Times New Roman"/>
          <w:sz w:val="28"/>
          <w:szCs w:val="28"/>
          <w:lang w:eastAsia="uk-UA"/>
        </w:rPr>
        <w:t>Лотоцькій Світлані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6616F" w14:textId="77777777" w:rsidR="00F3484D" w:rsidRDefault="00F3484D">
      <w:r>
        <w:separator/>
      </w:r>
    </w:p>
  </w:endnote>
  <w:endnote w:type="continuationSeparator" w:id="0">
    <w:p w14:paraId="145E28C1" w14:textId="77777777" w:rsidR="00F3484D" w:rsidRDefault="00F3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A004C" w14:textId="77777777" w:rsidR="00F3484D" w:rsidRDefault="00F3484D">
      <w:r>
        <w:separator/>
      </w:r>
    </w:p>
  </w:footnote>
  <w:footnote w:type="continuationSeparator" w:id="0">
    <w:p w14:paraId="11FC430E" w14:textId="77777777" w:rsidR="00F3484D" w:rsidRDefault="00F3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903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3C6B"/>
    <w:rsid w:val="00F044F4"/>
    <w:rsid w:val="00F04E5D"/>
    <w:rsid w:val="00F05D28"/>
    <w:rsid w:val="00F145CF"/>
    <w:rsid w:val="00F3484D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90C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2025-01-31T12:05:00Z</cp:lastPrinted>
  <dcterms:created xsi:type="dcterms:W3CDTF">2025-01-15T14:49:00Z</dcterms:created>
  <dcterms:modified xsi:type="dcterms:W3CDTF">2025-01-31T12:05:00Z</dcterms:modified>
</cp:coreProperties>
</file>