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5268" w14:textId="466A88E0" w:rsidR="00B76C64" w:rsidRDefault="008E030B" w:rsidP="008E030B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r w:rsidR="00B76C64" w:rsidRPr="00520E4C">
        <w:rPr>
          <w:bCs w:val="0"/>
          <w:sz w:val="24"/>
          <w:szCs w:val="24"/>
          <w:lang w:val="uk-UA"/>
        </w:rPr>
        <w:t xml:space="preserve">КП "Благоустрій - Р" за </w:t>
      </w:r>
      <w:r w:rsidR="00704163">
        <w:rPr>
          <w:bCs w:val="0"/>
          <w:sz w:val="24"/>
          <w:szCs w:val="24"/>
          <w:lang w:val="uk-UA"/>
        </w:rPr>
        <w:t>травень</w:t>
      </w:r>
      <w:r w:rsidR="00B76C64" w:rsidRPr="00520E4C">
        <w:rPr>
          <w:bCs w:val="0"/>
          <w:sz w:val="24"/>
          <w:szCs w:val="24"/>
          <w:lang w:val="uk-UA"/>
        </w:rPr>
        <w:t xml:space="preserve"> 20</w:t>
      </w:r>
      <w:r w:rsidR="00943933" w:rsidRPr="00520E4C">
        <w:rPr>
          <w:bCs w:val="0"/>
          <w:sz w:val="24"/>
          <w:szCs w:val="24"/>
          <w:lang w:val="uk-UA"/>
        </w:rPr>
        <w:t>2</w:t>
      </w:r>
      <w:r w:rsidR="005F1CA9" w:rsidRPr="00520E4C">
        <w:rPr>
          <w:bCs w:val="0"/>
          <w:sz w:val="24"/>
          <w:szCs w:val="24"/>
          <w:lang w:val="uk-UA"/>
        </w:rPr>
        <w:t>4</w:t>
      </w:r>
      <w:r w:rsidR="00B76C64" w:rsidRPr="00520E4C">
        <w:rPr>
          <w:bCs w:val="0"/>
          <w:sz w:val="24"/>
          <w:szCs w:val="24"/>
          <w:lang w:val="uk-UA"/>
        </w:rPr>
        <w:t xml:space="preserve"> року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8E030B" w14:paraId="6951A14A" w14:textId="77777777" w:rsidTr="006D6AF5">
        <w:tc>
          <w:tcPr>
            <w:tcW w:w="704" w:type="dxa"/>
            <w:vAlign w:val="center"/>
          </w:tcPr>
          <w:p w14:paraId="45FDA0DE" w14:textId="77777777" w:rsidR="008E030B" w:rsidRPr="009A5003" w:rsidRDefault="008E030B" w:rsidP="006D6AF5">
            <w:pPr>
              <w:jc w:val="center"/>
              <w:rPr>
                <w:lang w:val="uk-UA"/>
              </w:rPr>
            </w:pPr>
            <w:r w:rsidRPr="009A5003">
              <w:rPr>
                <w:rStyle w:val="a4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14:paraId="2E1150B3" w14:textId="77777777" w:rsidR="008E030B" w:rsidRPr="009A5003" w:rsidRDefault="008E030B" w:rsidP="006D6AF5">
            <w:pPr>
              <w:jc w:val="center"/>
              <w:rPr>
                <w:lang w:val="uk-UA"/>
              </w:rPr>
            </w:pPr>
            <w:r w:rsidRPr="009A5003">
              <w:rPr>
                <w:rStyle w:val="a4"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8E030B" w14:paraId="19DB856B" w14:textId="77777777" w:rsidTr="006D6AF5">
        <w:tc>
          <w:tcPr>
            <w:tcW w:w="9776" w:type="dxa"/>
            <w:gridSpan w:val="2"/>
          </w:tcPr>
          <w:p w14:paraId="7BA591E9" w14:textId="77777777" w:rsidR="008E030B" w:rsidRPr="009A5003" w:rsidRDefault="008E030B" w:rsidP="006D6AF5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Вуличне освітлення</w:t>
            </w:r>
          </w:p>
        </w:tc>
      </w:tr>
      <w:tr w:rsidR="008E030B" w14:paraId="5405716F" w14:textId="77777777" w:rsidTr="006D6AF5">
        <w:tc>
          <w:tcPr>
            <w:tcW w:w="704" w:type="dxa"/>
          </w:tcPr>
          <w:p w14:paraId="159A1165" w14:textId="77777777" w:rsidR="008E030B" w:rsidRDefault="008E030B" w:rsidP="006D6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72" w:type="dxa"/>
          </w:tcPr>
          <w:p w14:paraId="529A1A05" w14:textId="77777777" w:rsidR="008E030B" w:rsidRDefault="008E030B" w:rsidP="006D6AF5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протяжка ліній вуличного освітлення в селах Рогатинської МТГ та м. Рогатин.</w:t>
            </w:r>
          </w:p>
          <w:p w14:paraId="7CE512D8" w14:textId="77777777" w:rsidR="008E030B" w:rsidRPr="00E4032B" w:rsidRDefault="008E030B" w:rsidP="006D6AF5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Монтаж резервних ліній живлення.</w:t>
            </w:r>
          </w:p>
          <w:p w14:paraId="7B10F149" w14:textId="77777777" w:rsidR="008E030B" w:rsidRPr="009A5003" w:rsidRDefault="008E030B" w:rsidP="006D6AF5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 w:rsidRPr="00E4032B">
              <w:rPr>
                <w:lang w:val="uk-UA"/>
              </w:rPr>
              <w:t>Зміна налаштувань таймерів вуличного освітлення по Рогатинському МТГ та зняття показників лічильників обліку електроенергії.</w:t>
            </w:r>
          </w:p>
        </w:tc>
      </w:tr>
      <w:tr w:rsidR="008E030B" w14:paraId="20E3E1EF" w14:textId="77777777" w:rsidTr="006D6AF5">
        <w:tc>
          <w:tcPr>
            <w:tcW w:w="9776" w:type="dxa"/>
            <w:gridSpan w:val="2"/>
          </w:tcPr>
          <w:p w14:paraId="6FDD8929" w14:textId="77777777" w:rsidR="008E030B" w:rsidRPr="009A5003" w:rsidRDefault="008E030B" w:rsidP="006D6AF5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Санітарна очистка міста та старостинських округів</w:t>
            </w:r>
          </w:p>
        </w:tc>
      </w:tr>
      <w:tr w:rsidR="008E030B" w14:paraId="443CE9AA" w14:textId="77777777" w:rsidTr="006D6AF5">
        <w:tc>
          <w:tcPr>
            <w:tcW w:w="704" w:type="dxa"/>
          </w:tcPr>
          <w:p w14:paraId="615F4100" w14:textId="77777777" w:rsidR="008E030B" w:rsidRDefault="008E030B" w:rsidP="006D6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72" w:type="dxa"/>
          </w:tcPr>
          <w:p w14:paraId="1E4D792A" w14:textId="19C09373" w:rsidR="008E030B" w:rsidRDefault="008E030B" w:rsidP="006D6AF5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9B26B5">
              <w:rPr>
                <w:lang w:val="uk-UA"/>
              </w:rPr>
              <w:t xml:space="preserve">тротуарів та вулиць по місту та </w:t>
            </w:r>
            <w:r>
              <w:rPr>
                <w:lang w:val="uk-UA"/>
              </w:rPr>
              <w:t xml:space="preserve">населених пунктах </w:t>
            </w:r>
            <w:r w:rsidRPr="009B26B5">
              <w:rPr>
                <w:lang w:val="uk-UA"/>
              </w:rPr>
              <w:t>громад</w:t>
            </w:r>
            <w:r>
              <w:rPr>
                <w:lang w:val="uk-UA"/>
              </w:rPr>
              <w:t>и</w:t>
            </w:r>
            <w:r w:rsidRPr="009B26B5">
              <w:rPr>
                <w:lang w:val="uk-UA"/>
              </w:rPr>
              <w:t>, прибирання парків та скверів, вирубка кущів, очистка, прибирання берегів річки Гнила Липа.</w:t>
            </w:r>
          </w:p>
          <w:p w14:paraId="581C3284" w14:textId="77777777" w:rsidR="003D5E26" w:rsidRDefault="003D5E26" w:rsidP="006D6AF5">
            <w:pPr>
              <w:rPr>
                <w:lang w:val="uk-UA"/>
              </w:rPr>
            </w:pPr>
            <w:r>
              <w:rPr>
                <w:lang w:val="uk-UA"/>
              </w:rPr>
              <w:t>Викошування трави (кладовища, узбіччя доріг, парки, біля пам'ятних знаків, стадіони). Зрізка сухих дерев.</w:t>
            </w:r>
          </w:p>
          <w:p w14:paraId="5FFB3C15" w14:textId="1AD0BE3B" w:rsidR="008E030B" w:rsidRPr="009A5003" w:rsidRDefault="008E030B" w:rsidP="003D5E26">
            <w:pPr>
              <w:rPr>
                <w:bCs/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</w:p>
        </w:tc>
      </w:tr>
      <w:tr w:rsidR="008E030B" w14:paraId="0B289809" w14:textId="77777777" w:rsidTr="006D6AF5">
        <w:tc>
          <w:tcPr>
            <w:tcW w:w="9776" w:type="dxa"/>
            <w:gridSpan w:val="2"/>
          </w:tcPr>
          <w:p w14:paraId="6FDCF825" w14:textId="77777777" w:rsidR="008E030B" w:rsidRPr="009A5003" w:rsidRDefault="008E030B" w:rsidP="006D6AF5">
            <w:pPr>
              <w:pStyle w:val="a3"/>
              <w:spacing w:before="0" w:beforeAutospacing="0" w:after="0" w:afterAutospacing="0" w:line="252" w:lineRule="atLeast"/>
              <w:rPr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8E030B" w14:paraId="53641E42" w14:textId="77777777" w:rsidTr="006D6AF5">
        <w:tc>
          <w:tcPr>
            <w:tcW w:w="704" w:type="dxa"/>
          </w:tcPr>
          <w:p w14:paraId="2F5D36A9" w14:textId="77777777" w:rsidR="008E030B" w:rsidRDefault="008E030B" w:rsidP="006D6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72" w:type="dxa"/>
          </w:tcPr>
          <w:p w14:paraId="2606BD60" w14:textId="77777777" w:rsidR="008E030B" w:rsidRPr="00C4474E" w:rsidRDefault="008E030B" w:rsidP="006D6AF5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на кладовищі по вул. Стуса в м.Рогатині: очистка центральної доріжки, вирубка кущів, вивезення сміття.</w:t>
            </w:r>
          </w:p>
          <w:p w14:paraId="6B9BC664" w14:textId="77777777" w:rsidR="008E030B" w:rsidRPr="00C4474E" w:rsidRDefault="008E030B" w:rsidP="006D6AF5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 на старому кладовищі в м.Рогатині: прибирання території навколо кладовища та центрального входу, вивезення сміття, вирубка кущів.</w:t>
            </w:r>
          </w:p>
          <w:p w14:paraId="5216E536" w14:textId="1C6CC54B" w:rsidR="008E030B" w:rsidRPr="009A5003" w:rsidRDefault="008E030B" w:rsidP="006D6AF5">
            <w:pPr>
              <w:rPr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5 договорів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4 договори на бронювання місць під поховання</w:t>
            </w:r>
          </w:p>
        </w:tc>
      </w:tr>
    </w:tbl>
    <w:p w14:paraId="78E05B42" w14:textId="77777777" w:rsidR="00EC58D5" w:rsidRPr="00520E4C" w:rsidRDefault="00EC58D5" w:rsidP="00A324D4">
      <w:pPr>
        <w:pStyle w:val="a3"/>
        <w:spacing w:before="0" w:beforeAutospacing="0" w:after="0" w:afterAutospacing="0" w:line="252" w:lineRule="atLeast"/>
        <w:ind w:left="780"/>
        <w:rPr>
          <w:lang w:val="uk-UA"/>
        </w:rPr>
      </w:pPr>
    </w:p>
    <w:p w14:paraId="5219F1C2" w14:textId="45E69011" w:rsidR="00C57F0C" w:rsidRPr="00520E4C" w:rsidRDefault="00B76C64" w:rsidP="009712C9">
      <w:pPr>
        <w:jc w:val="both"/>
        <w:rPr>
          <w:lang w:val="uk-UA"/>
        </w:rPr>
      </w:pPr>
      <w:r w:rsidRPr="00520E4C">
        <w:rPr>
          <w:lang w:val="uk-UA"/>
        </w:rPr>
        <w:tab/>
      </w:r>
      <w:r w:rsidR="008E030B">
        <w:rPr>
          <w:lang w:val="uk-UA"/>
        </w:rPr>
        <w:t>В травні 2024 року</w:t>
      </w:r>
      <w:r w:rsidRPr="00520E4C">
        <w:rPr>
          <w:lang w:val="uk-UA"/>
        </w:rPr>
        <w:t xml:space="preserve"> з міського </w:t>
      </w:r>
      <w:r w:rsidR="00E757F8" w:rsidRPr="00520E4C">
        <w:rPr>
          <w:lang w:val="uk-UA"/>
        </w:rPr>
        <w:t>бюджету</w:t>
      </w:r>
      <w:r w:rsidR="006C5124" w:rsidRPr="00520E4C">
        <w:rPr>
          <w:lang w:val="uk-UA"/>
        </w:rPr>
        <w:t xml:space="preserve"> </w:t>
      </w:r>
      <w:r w:rsidR="008E030B">
        <w:rPr>
          <w:lang w:val="uk-UA"/>
        </w:rPr>
        <w:t xml:space="preserve">використано </w:t>
      </w:r>
      <w:r w:rsidR="00731CB4" w:rsidRPr="00520E4C">
        <w:rPr>
          <w:b/>
          <w:bCs/>
          <w:lang w:val="uk-UA"/>
        </w:rPr>
        <w:t>1</w:t>
      </w:r>
      <w:r w:rsidR="00704163">
        <w:rPr>
          <w:b/>
          <w:bCs/>
          <w:lang w:val="uk-UA"/>
        </w:rPr>
        <w:t>691103,25</w:t>
      </w:r>
      <w:r w:rsidR="008E030B">
        <w:rPr>
          <w:b/>
          <w:bCs/>
          <w:lang w:val="uk-UA"/>
        </w:rPr>
        <w:t xml:space="preserve"> </w:t>
      </w:r>
      <w:r w:rsidR="006846BE" w:rsidRPr="00520E4C">
        <w:rPr>
          <w:b/>
          <w:bCs/>
          <w:lang w:val="uk-UA"/>
        </w:rPr>
        <w:t>г</w:t>
      </w:r>
      <w:r w:rsidR="0004075E" w:rsidRPr="00520E4C">
        <w:rPr>
          <w:b/>
          <w:bCs/>
          <w:lang w:val="uk-UA"/>
        </w:rPr>
        <w:t>р</w:t>
      </w:r>
      <w:r w:rsidRPr="00520E4C">
        <w:rPr>
          <w:b/>
          <w:lang w:val="uk-UA"/>
        </w:rPr>
        <w:t>н.</w:t>
      </w:r>
      <w:r w:rsidRPr="00520E4C">
        <w:rPr>
          <w:lang w:val="uk-UA"/>
        </w:rPr>
        <w:t xml:space="preserve">, а саме: </w:t>
      </w:r>
    </w:p>
    <w:tbl>
      <w:tblPr>
        <w:tblW w:w="95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160"/>
      </w:tblGrid>
      <w:tr w:rsidR="00B76C64" w:rsidRPr="00520E4C" w14:paraId="3BA25DF9" w14:textId="77777777" w:rsidTr="00993283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C76EB" w14:textId="77777777" w:rsidR="00B76C64" w:rsidRPr="00520E4C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520E4C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AEE3D" w14:textId="77777777" w:rsidR="00B76C64" w:rsidRPr="00520E4C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520E4C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704163" w:rsidRPr="00520E4C" w14:paraId="3D5563FD" w14:textId="77777777" w:rsidTr="00703FD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EFBDBB1" w14:textId="77777777" w:rsidR="00704163" w:rsidRPr="00704163" w:rsidRDefault="00704163" w:rsidP="00704163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704163">
              <w:rPr>
                <w:sz w:val="22"/>
                <w:szCs w:val="22"/>
              </w:rPr>
              <w:t>841650,34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7F280504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Заробітна плата працівників підприємства</w:t>
            </w:r>
          </w:p>
        </w:tc>
      </w:tr>
      <w:tr w:rsidR="00704163" w:rsidRPr="00520E4C" w14:paraId="43A8829E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FE9AC5E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219700,00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12864241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ПП "ОККО-Сервіс" за бензин та дизпаливо</w:t>
            </w:r>
          </w:p>
        </w:tc>
      </w:tr>
      <w:tr w:rsidR="00704163" w:rsidRPr="00520E4C" w14:paraId="1FB0AAB8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2A7BA6C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180116,00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67A77E99" w14:textId="77777777" w:rsidR="00704163" w:rsidRPr="00704163" w:rsidRDefault="00704163" w:rsidP="00704163">
            <w:pPr>
              <w:rPr>
                <w:sz w:val="22"/>
                <w:szCs w:val="22"/>
                <w:lang w:val="uk-UA"/>
              </w:rPr>
            </w:pPr>
            <w:r w:rsidRPr="00704163">
              <w:rPr>
                <w:sz w:val="22"/>
                <w:szCs w:val="22"/>
              </w:rPr>
              <w:t>ЄСВ</w:t>
            </w:r>
            <w:r>
              <w:rPr>
                <w:sz w:val="22"/>
                <w:szCs w:val="22"/>
                <w:lang w:val="uk-UA"/>
              </w:rPr>
              <w:t xml:space="preserve"> на заробітну плату працівників підприємства</w:t>
            </w:r>
          </w:p>
        </w:tc>
      </w:tr>
      <w:tr w:rsidR="00704163" w:rsidRPr="00520E4C" w14:paraId="0CAEDDFF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7922757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143836,00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1CFC0DEC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ПП Бренецька М. О. за фарби, клеї, барвники, розчинники, цемент, лак, вапно, пакети для сміття, кущоріз, рукавиці, відра, щітки</w:t>
            </w:r>
          </w:p>
        </w:tc>
      </w:tr>
      <w:tr w:rsidR="00704163" w:rsidRPr="00520E4C" w14:paraId="3CC61430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B872926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99400,00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7B426267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ТОВ "Рогатинська ШРБД" за послуги автогрейдера</w:t>
            </w:r>
          </w:p>
        </w:tc>
      </w:tr>
      <w:tr w:rsidR="00704163" w:rsidRPr="00520E4C" w14:paraId="70A4D04B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6013834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63800,00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47D5D04C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ФОП Стрихар М. І. за запчастини до роторної косарки та косарку</w:t>
            </w:r>
          </w:p>
        </w:tc>
      </w:tr>
      <w:tr w:rsidR="00704163" w:rsidRPr="00520E4C" w14:paraId="0103FEA1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DD7C188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36796,46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59287B03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ТОВ "Прикарпатенерготрейд" за електроенергію</w:t>
            </w:r>
          </w:p>
        </w:tc>
      </w:tr>
      <w:tr w:rsidR="00704163" w:rsidRPr="00520E4C" w14:paraId="3BF86A0D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14C267B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30055,00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316CF4CF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ФОП Кічула А. С. за запчастини до бензокос, сапи, ланцюг бензопили, бензокосу</w:t>
            </w:r>
          </w:p>
        </w:tc>
      </w:tr>
      <w:tr w:rsidR="00704163" w:rsidRPr="00520E4C" w14:paraId="15BC8F1C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409436F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24280,15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326CDF3A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АТ "Прикарпаттяобленерго" за розподіл електроенергії</w:t>
            </w:r>
          </w:p>
        </w:tc>
      </w:tr>
      <w:tr w:rsidR="00704163" w:rsidRPr="00520E4C" w14:paraId="298A0C79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DCAF33E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11698,95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6DE29C10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ПП Попик І. П. за послуги з виготовлення робочого проекту у частині кошторисної документації</w:t>
            </w:r>
          </w:p>
        </w:tc>
      </w:tr>
      <w:tr w:rsidR="00704163" w:rsidRPr="00520E4C" w14:paraId="0775F091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D3EC5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9640,26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72DE9FB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ДП "Рогатин-Водоканал" за відшкодування за використану електроенергію, оренду тракторів та автомобіля</w:t>
            </w:r>
          </w:p>
        </w:tc>
      </w:tr>
      <w:tr w:rsidR="00704163" w:rsidRPr="00520E4C" w14:paraId="296CC21D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AAEDC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6284,40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3331301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ПРАТ СК Євроінс за страхування водіїв та транспорту</w:t>
            </w:r>
          </w:p>
        </w:tc>
      </w:tr>
      <w:tr w:rsidR="00704163" w:rsidRPr="00520E4C" w14:paraId="593B4B3F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FA794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5792,75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CACB8D4" w14:textId="03969DC7" w:rsidR="00704163" w:rsidRPr="00704163" w:rsidRDefault="008E030B" w:rsidP="00704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КП ''</w:t>
            </w:r>
            <w:r w:rsidR="00704163" w:rsidRPr="00704163">
              <w:rPr>
                <w:sz w:val="22"/>
                <w:szCs w:val="22"/>
              </w:rPr>
              <w:t>Рогатинське будинкоуправління</w:t>
            </w:r>
            <w:r>
              <w:rPr>
                <w:sz w:val="22"/>
                <w:szCs w:val="22"/>
              </w:rPr>
              <w:t>''</w:t>
            </w:r>
            <w:r w:rsidR="00704163" w:rsidRPr="00704163">
              <w:rPr>
                <w:sz w:val="22"/>
                <w:szCs w:val="22"/>
              </w:rPr>
              <w:t xml:space="preserve"> за захоронення сміття</w:t>
            </w:r>
          </w:p>
        </w:tc>
      </w:tr>
      <w:tr w:rsidR="00704163" w:rsidRPr="00520E4C" w14:paraId="44344FDE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2C28C7F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5455,00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C94D176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ПП Крамарюк М. Т. за масла трансмісійні та запчастини до т/з</w:t>
            </w:r>
          </w:p>
        </w:tc>
      </w:tr>
      <w:tr w:rsidR="00704163" w:rsidRPr="00520E4C" w14:paraId="25CDB9BD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5E8D3BD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5175,00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700FB633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ПрАТ "Галнафтохім" за оливу моторну, гідравлічну</w:t>
            </w:r>
          </w:p>
        </w:tc>
      </w:tr>
      <w:tr w:rsidR="00704163" w:rsidRPr="00520E4C" w14:paraId="79F5F2CF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05B6133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2760,00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2CACBDB1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ФОП Малецький Р. В. за трос сталевий</w:t>
            </w:r>
          </w:p>
        </w:tc>
      </w:tr>
      <w:tr w:rsidR="00704163" w:rsidRPr="00520E4C" w14:paraId="50F62CF4" w14:textId="77777777" w:rsidTr="00704163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0E249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2420,00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4A60AB8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ФОП Купчева Т. І. за вазони сульфінії та бегонії</w:t>
            </w:r>
          </w:p>
        </w:tc>
      </w:tr>
      <w:tr w:rsidR="00704163" w:rsidRPr="00520E4C" w14:paraId="291FCEF0" w14:textId="77777777" w:rsidTr="00704163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76D00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1645,00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68D631A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ПП Лещишин Л. М. за світильники паркові</w:t>
            </w:r>
          </w:p>
        </w:tc>
      </w:tr>
      <w:tr w:rsidR="00704163" w:rsidRPr="00520E4C" w14:paraId="5172E5BC" w14:textId="77777777" w:rsidTr="00704163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5295A5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596,94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F43A738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Комісія банку</w:t>
            </w:r>
          </w:p>
        </w:tc>
      </w:tr>
      <w:tr w:rsidR="00704163" w:rsidRPr="00520E4C" w14:paraId="019F1832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FE447B2" w14:textId="77777777" w:rsidR="00704163" w:rsidRPr="00704163" w:rsidRDefault="00704163" w:rsidP="00704163">
            <w:pPr>
              <w:jc w:val="right"/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1,00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339F4ECF" w14:textId="77777777" w:rsidR="00704163" w:rsidRPr="00704163" w:rsidRDefault="00704163" w:rsidP="00704163">
            <w:pPr>
              <w:rPr>
                <w:sz w:val="22"/>
                <w:szCs w:val="22"/>
              </w:rPr>
            </w:pPr>
            <w:r w:rsidRPr="00704163">
              <w:rPr>
                <w:sz w:val="22"/>
                <w:szCs w:val="22"/>
              </w:rPr>
              <w:t>ПП Голубовський І. Б. за оренду нежитлового приміщення</w:t>
            </w:r>
          </w:p>
        </w:tc>
      </w:tr>
    </w:tbl>
    <w:p w14:paraId="128E53D3" w14:textId="38C3DC3E" w:rsidR="00D40036" w:rsidRPr="00520E4C" w:rsidRDefault="00B76C64" w:rsidP="005D2391">
      <w:pPr>
        <w:jc w:val="both"/>
        <w:rPr>
          <w:lang w:val="uk-UA"/>
        </w:rPr>
      </w:pPr>
      <w:r w:rsidRPr="00520E4C">
        <w:rPr>
          <w:lang w:val="uk-UA"/>
        </w:rPr>
        <w:tab/>
        <w:t xml:space="preserve">На поточний рахунок підприємства в </w:t>
      </w:r>
      <w:r w:rsidR="003A6BBE">
        <w:rPr>
          <w:lang w:val="uk-UA"/>
        </w:rPr>
        <w:t>травні</w:t>
      </w:r>
      <w:r w:rsidR="00E97723" w:rsidRPr="00520E4C">
        <w:rPr>
          <w:lang w:val="uk-UA"/>
        </w:rPr>
        <w:t xml:space="preserve"> </w:t>
      </w:r>
      <w:r w:rsidRPr="00520E4C">
        <w:rPr>
          <w:lang w:val="uk-UA"/>
        </w:rPr>
        <w:t>20</w:t>
      </w:r>
      <w:r w:rsidR="00B61E63" w:rsidRPr="00520E4C">
        <w:rPr>
          <w:lang w:val="uk-UA"/>
        </w:rPr>
        <w:t>2</w:t>
      </w:r>
      <w:r w:rsidR="00BC431F" w:rsidRPr="00520E4C">
        <w:rPr>
          <w:lang w:val="uk-UA"/>
        </w:rPr>
        <w:t>4</w:t>
      </w:r>
      <w:r w:rsidR="00B61E63" w:rsidRPr="00520E4C">
        <w:rPr>
          <w:lang w:val="uk-UA"/>
        </w:rPr>
        <w:t xml:space="preserve"> </w:t>
      </w:r>
      <w:r w:rsidRPr="00520E4C">
        <w:rPr>
          <w:lang w:val="uk-UA"/>
        </w:rPr>
        <w:t xml:space="preserve">року надійшло </w:t>
      </w:r>
      <w:r w:rsidR="003A6BBE">
        <w:rPr>
          <w:b/>
          <w:lang w:val="uk-UA"/>
        </w:rPr>
        <w:t>1</w:t>
      </w:r>
      <w:r w:rsidR="00E97723" w:rsidRPr="00520E4C">
        <w:rPr>
          <w:b/>
          <w:lang w:val="uk-UA"/>
        </w:rPr>
        <w:t>9</w:t>
      </w:r>
      <w:r w:rsidR="003A6BBE">
        <w:rPr>
          <w:b/>
          <w:lang w:val="uk-UA"/>
        </w:rPr>
        <w:t>57</w:t>
      </w:r>
      <w:r w:rsidR="00BC431F" w:rsidRPr="00520E4C">
        <w:rPr>
          <w:b/>
          <w:lang w:val="uk-UA"/>
        </w:rPr>
        <w:t>,</w:t>
      </w:r>
      <w:r w:rsidR="007D6B2E" w:rsidRPr="00520E4C">
        <w:rPr>
          <w:b/>
          <w:lang w:val="uk-UA"/>
        </w:rPr>
        <w:t>00</w:t>
      </w:r>
      <w:r w:rsidR="008E030B">
        <w:rPr>
          <w:b/>
          <w:lang w:val="uk-UA"/>
        </w:rPr>
        <w:t xml:space="preserve"> </w:t>
      </w:r>
      <w:r w:rsidRPr="00520E4C">
        <w:rPr>
          <w:b/>
          <w:lang w:val="uk-UA"/>
        </w:rPr>
        <w:t>грн.</w:t>
      </w:r>
      <w:r w:rsidRPr="00520E4C">
        <w:rPr>
          <w:lang w:val="uk-UA"/>
        </w:rPr>
        <w:t xml:space="preserve"> </w:t>
      </w:r>
    </w:p>
    <w:p w14:paraId="79328231" w14:textId="77777777" w:rsidR="00B76C64" w:rsidRPr="00520E4C" w:rsidRDefault="003B541C" w:rsidP="00E05122">
      <w:pPr>
        <w:ind w:firstLine="708"/>
        <w:jc w:val="both"/>
        <w:rPr>
          <w:lang w:val="uk-UA"/>
        </w:rPr>
      </w:pPr>
      <w:r w:rsidRPr="00520E4C">
        <w:rPr>
          <w:lang w:val="uk-UA"/>
        </w:rPr>
        <w:t xml:space="preserve">З поточного рахунку </w:t>
      </w:r>
      <w:r w:rsidR="00B76C64" w:rsidRPr="00520E4C">
        <w:rPr>
          <w:lang w:val="uk-UA"/>
        </w:rPr>
        <w:t>кошти витрач</w:t>
      </w:r>
      <w:r w:rsidRPr="00520E4C">
        <w:rPr>
          <w:lang w:val="uk-UA"/>
        </w:rPr>
        <w:t xml:space="preserve">аються </w:t>
      </w:r>
      <w:r w:rsidR="00B76C64" w:rsidRPr="00520E4C">
        <w:rPr>
          <w:lang w:val="uk-UA"/>
        </w:rPr>
        <w:t xml:space="preserve">для </w:t>
      </w:r>
      <w:r w:rsidR="0004075E" w:rsidRPr="00520E4C">
        <w:rPr>
          <w:lang w:val="uk-UA"/>
        </w:rPr>
        <w:t>придбання</w:t>
      </w:r>
      <w:r w:rsidR="00996444" w:rsidRPr="00520E4C">
        <w:rPr>
          <w:lang w:val="uk-UA"/>
        </w:rPr>
        <w:t xml:space="preserve"> </w:t>
      </w:r>
      <w:r w:rsidR="00B76C64" w:rsidRPr="00520E4C">
        <w:rPr>
          <w:lang w:val="uk-UA"/>
        </w:rPr>
        <w:t>необхідного інвентарю,</w:t>
      </w:r>
      <w:r w:rsidR="00CF2D8B" w:rsidRPr="00520E4C">
        <w:rPr>
          <w:lang w:val="uk-UA"/>
        </w:rPr>
        <w:t xml:space="preserve"> </w:t>
      </w:r>
      <w:r w:rsidR="00A324D4" w:rsidRPr="00520E4C">
        <w:rPr>
          <w:lang w:val="uk-UA"/>
        </w:rPr>
        <w:t xml:space="preserve">оплату </w:t>
      </w:r>
      <w:r w:rsidR="00E05122" w:rsidRPr="00520E4C">
        <w:rPr>
          <w:lang w:val="uk-UA"/>
        </w:rPr>
        <w:t>банківських послуг</w:t>
      </w:r>
      <w:r w:rsidR="00B76C64" w:rsidRPr="00520E4C">
        <w:rPr>
          <w:lang w:val="uk-UA"/>
        </w:rPr>
        <w:t xml:space="preserve"> та ін..</w:t>
      </w:r>
      <w:r w:rsidR="005E0C89" w:rsidRPr="00520E4C">
        <w:rPr>
          <w:lang w:val="uk-UA"/>
        </w:rPr>
        <w:t xml:space="preserve"> </w:t>
      </w:r>
    </w:p>
    <w:p w14:paraId="3E31AF2E" w14:textId="265CA50F" w:rsidR="00520E4C" w:rsidRPr="00520E4C" w:rsidRDefault="00B76C64" w:rsidP="005D2391">
      <w:pPr>
        <w:rPr>
          <w:b/>
          <w:lang w:val="uk-UA"/>
        </w:rPr>
      </w:pPr>
      <w:r w:rsidRPr="00520E4C">
        <w:rPr>
          <w:b/>
          <w:lang w:val="uk-UA"/>
        </w:rPr>
        <w:t xml:space="preserve">               </w:t>
      </w:r>
    </w:p>
    <w:p w14:paraId="131A4471" w14:textId="77777777" w:rsidR="00B76C64" w:rsidRPr="00520E4C" w:rsidRDefault="00BC2335" w:rsidP="00BC2335">
      <w:pPr>
        <w:ind w:firstLine="708"/>
        <w:rPr>
          <w:b/>
          <w:lang w:val="uk-UA"/>
        </w:rPr>
      </w:pPr>
      <w:r w:rsidRPr="00520E4C">
        <w:rPr>
          <w:b/>
          <w:lang w:val="uk-UA"/>
        </w:rPr>
        <w:t xml:space="preserve">   </w:t>
      </w:r>
      <w:r w:rsidR="00B76C64" w:rsidRPr="00520E4C">
        <w:rPr>
          <w:b/>
          <w:lang w:val="uk-UA"/>
        </w:rPr>
        <w:t xml:space="preserve">   </w:t>
      </w:r>
      <w:r w:rsidR="00463034" w:rsidRPr="00520E4C">
        <w:rPr>
          <w:b/>
          <w:lang w:val="uk-UA"/>
        </w:rPr>
        <w:t>Н</w:t>
      </w:r>
      <w:r w:rsidR="00855FE2" w:rsidRPr="00520E4C">
        <w:rPr>
          <w:b/>
          <w:lang w:val="uk-UA"/>
        </w:rPr>
        <w:t>ачальник</w:t>
      </w:r>
      <w:r w:rsidR="00B76C64" w:rsidRPr="00520E4C">
        <w:rPr>
          <w:b/>
          <w:lang w:val="uk-UA"/>
        </w:rPr>
        <w:t xml:space="preserve">                                                                       </w:t>
      </w:r>
    </w:p>
    <w:p w14:paraId="71C05686" w14:textId="5721048C" w:rsidR="00B76C64" w:rsidRPr="00520E4C" w:rsidRDefault="00B76C64">
      <w:pPr>
        <w:rPr>
          <w:lang w:val="uk-UA"/>
        </w:rPr>
      </w:pPr>
      <w:r w:rsidRPr="00520E4C">
        <w:rPr>
          <w:b/>
          <w:lang w:val="uk-UA"/>
        </w:rPr>
        <w:t xml:space="preserve">                  КП «Благоустрій-Р»</w:t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="00463034" w:rsidRPr="00520E4C">
        <w:rPr>
          <w:b/>
          <w:lang w:val="uk-UA"/>
        </w:rPr>
        <w:t>В</w:t>
      </w:r>
      <w:r w:rsidR="003D5E26">
        <w:rPr>
          <w:b/>
          <w:lang w:val="uk-UA"/>
        </w:rPr>
        <w:t>асиль МИЦЬ</w:t>
      </w:r>
    </w:p>
    <w:sectPr w:rsidR="00B76C64" w:rsidRPr="00520E4C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91"/>
    <w:rsid w:val="00012886"/>
    <w:rsid w:val="0001305F"/>
    <w:rsid w:val="00013DA8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231FD"/>
    <w:rsid w:val="00155178"/>
    <w:rsid w:val="001734EE"/>
    <w:rsid w:val="0017649E"/>
    <w:rsid w:val="00181F31"/>
    <w:rsid w:val="001A0903"/>
    <w:rsid w:val="001A3B3E"/>
    <w:rsid w:val="001A72C9"/>
    <w:rsid w:val="001B01D5"/>
    <w:rsid w:val="001B2073"/>
    <w:rsid w:val="001B7B49"/>
    <w:rsid w:val="001C14AC"/>
    <w:rsid w:val="001C501B"/>
    <w:rsid w:val="001C6656"/>
    <w:rsid w:val="001C6FE3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6BBE"/>
    <w:rsid w:val="003A763C"/>
    <w:rsid w:val="003A7C96"/>
    <w:rsid w:val="003B3E9D"/>
    <w:rsid w:val="003B541C"/>
    <w:rsid w:val="003B6009"/>
    <w:rsid w:val="003C1A0B"/>
    <w:rsid w:val="003C24DA"/>
    <w:rsid w:val="003C256D"/>
    <w:rsid w:val="003D5E26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3C63"/>
    <w:rsid w:val="004F7B3B"/>
    <w:rsid w:val="005008CE"/>
    <w:rsid w:val="00502B9A"/>
    <w:rsid w:val="0051028C"/>
    <w:rsid w:val="00513A00"/>
    <w:rsid w:val="00520E4C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1CA9"/>
    <w:rsid w:val="005F79B4"/>
    <w:rsid w:val="00623DE9"/>
    <w:rsid w:val="00632E00"/>
    <w:rsid w:val="0064166D"/>
    <w:rsid w:val="00677837"/>
    <w:rsid w:val="00677917"/>
    <w:rsid w:val="006846BE"/>
    <w:rsid w:val="006C11B4"/>
    <w:rsid w:val="006C5124"/>
    <w:rsid w:val="006C6DEF"/>
    <w:rsid w:val="006D1F63"/>
    <w:rsid w:val="006E535D"/>
    <w:rsid w:val="006F5893"/>
    <w:rsid w:val="007022DD"/>
    <w:rsid w:val="00704163"/>
    <w:rsid w:val="007220F4"/>
    <w:rsid w:val="00730587"/>
    <w:rsid w:val="00730592"/>
    <w:rsid w:val="00731CB4"/>
    <w:rsid w:val="00734342"/>
    <w:rsid w:val="00741F51"/>
    <w:rsid w:val="0074411B"/>
    <w:rsid w:val="00753994"/>
    <w:rsid w:val="007546F8"/>
    <w:rsid w:val="00757BCD"/>
    <w:rsid w:val="007656A7"/>
    <w:rsid w:val="00767045"/>
    <w:rsid w:val="007957CC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0E7"/>
    <w:rsid w:val="00814433"/>
    <w:rsid w:val="00817518"/>
    <w:rsid w:val="00823616"/>
    <w:rsid w:val="00827B96"/>
    <w:rsid w:val="00834C4C"/>
    <w:rsid w:val="00843E93"/>
    <w:rsid w:val="008478CE"/>
    <w:rsid w:val="00855FE2"/>
    <w:rsid w:val="0087564F"/>
    <w:rsid w:val="00891DD4"/>
    <w:rsid w:val="00897F9B"/>
    <w:rsid w:val="008A04C8"/>
    <w:rsid w:val="008A4793"/>
    <w:rsid w:val="008A65FC"/>
    <w:rsid w:val="008B4C73"/>
    <w:rsid w:val="008C6F9E"/>
    <w:rsid w:val="008C7BD3"/>
    <w:rsid w:val="008E030B"/>
    <w:rsid w:val="008E21B2"/>
    <w:rsid w:val="008E3C0E"/>
    <w:rsid w:val="008E609E"/>
    <w:rsid w:val="00901F3E"/>
    <w:rsid w:val="009073E7"/>
    <w:rsid w:val="0091194F"/>
    <w:rsid w:val="00912F92"/>
    <w:rsid w:val="009151BB"/>
    <w:rsid w:val="00921EB1"/>
    <w:rsid w:val="00927E5B"/>
    <w:rsid w:val="00943933"/>
    <w:rsid w:val="00960296"/>
    <w:rsid w:val="00960E30"/>
    <w:rsid w:val="00961178"/>
    <w:rsid w:val="00964771"/>
    <w:rsid w:val="009712C9"/>
    <w:rsid w:val="0097594D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258C7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6BE5"/>
    <w:rsid w:val="00B46D6C"/>
    <w:rsid w:val="00B4795A"/>
    <w:rsid w:val="00B52384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65C77"/>
    <w:rsid w:val="00E757F8"/>
    <w:rsid w:val="00E7689B"/>
    <w:rsid w:val="00E97723"/>
    <w:rsid w:val="00EA0EA0"/>
    <w:rsid w:val="00EA7832"/>
    <w:rsid w:val="00EB3C23"/>
    <w:rsid w:val="00EC58D5"/>
    <w:rsid w:val="00ED0152"/>
    <w:rsid w:val="00ED2ADF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32805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8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30B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60DD-6AD3-4EBB-8327-6D1873EF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2104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5</cp:revision>
  <cp:lastPrinted>2019-09-09T07:53:00Z</cp:lastPrinted>
  <dcterms:created xsi:type="dcterms:W3CDTF">2024-06-04T10:30:00Z</dcterms:created>
  <dcterms:modified xsi:type="dcterms:W3CDTF">2024-07-22T13:37:00Z</dcterms:modified>
</cp:coreProperties>
</file>