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8F" w:rsidRDefault="009E7F9C" w:rsidP="001E618F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D74A2">
        <w:rPr>
          <w:rFonts w:ascii="ProbaPro" w:hAnsi="ProbaPro"/>
          <w:b/>
          <w:color w:val="1D1D1B"/>
          <w:sz w:val="28"/>
          <w:szCs w:val="28"/>
          <w:shd w:val="clear" w:color="auto" w:fill="FFFFFF"/>
        </w:rPr>
        <w:t xml:space="preserve">Оперативна </w:t>
      </w:r>
      <w:r w:rsidR="00D217AE">
        <w:rPr>
          <w:rFonts w:ascii="ProbaPro" w:hAnsi="ProbaPro"/>
          <w:b/>
          <w:color w:val="1D1D1B"/>
          <w:sz w:val="28"/>
          <w:szCs w:val="28"/>
          <w:shd w:val="clear" w:color="auto" w:fill="FFFFFF"/>
        </w:rPr>
        <w:t>і</w:t>
      </w:r>
      <w:r w:rsidRPr="006D74A2">
        <w:rPr>
          <w:rFonts w:ascii="ProbaPro" w:hAnsi="ProbaPro"/>
          <w:b/>
          <w:color w:val="1D1D1B"/>
          <w:sz w:val="28"/>
          <w:szCs w:val="28"/>
          <w:shd w:val="clear" w:color="auto" w:fill="FFFFFF"/>
        </w:rPr>
        <w:t xml:space="preserve">нформація про стан надходження доходів </w:t>
      </w:r>
      <w:r w:rsidR="00FC179E" w:rsidRPr="006D74A2">
        <w:rPr>
          <w:rFonts w:ascii="ProbaPro" w:hAnsi="ProbaPro"/>
          <w:b/>
          <w:color w:val="1D1D1B"/>
          <w:sz w:val="28"/>
          <w:szCs w:val="28"/>
          <w:shd w:val="clear" w:color="auto" w:fill="FFFFFF"/>
        </w:rPr>
        <w:t xml:space="preserve">до </w:t>
      </w:r>
      <w:r w:rsidR="00D217AE">
        <w:rPr>
          <w:rFonts w:ascii="ProbaPro" w:hAnsi="ProbaPro"/>
          <w:b/>
          <w:color w:val="1D1D1B"/>
          <w:sz w:val="28"/>
          <w:szCs w:val="28"/>
          <w:shd w:val="clear" w:color="auto" w:fill="FFFFFF"/>
        </w:rPr>
        <w:t xml:space="preserve">бюджету </w:t>
      </w:r>
      <w:proofErr w:type="spellStart"/>
      <w:r w:rsidR="00D217AE">
        <w:rPr>
          <w:rFonts w:ascii="ProbaPro" w:hAnsi="ProbaPro"/>
          <w:b/>
          <w:color w:val="1D1D1B"/>
          <w:sz w:val="28"/>
          <w:szCs w:val="28"/>
          <w:shd w:val="clear" w:color="auto" w:fill="FFFFFF"/>
        </w:rPr>
        <w:t>Рогатинської</w:t>
      </w:r>
      <w:proofErr w:type="spellEnd"/>
      <w:r w:rsidR="00D217AE">
        <w:rPr>
          <w:rFonts w:ascii="ProbaPro" w:hAnsi="ProbaPro"/>
          <w:b/>
          <w:color w:val="1D1D1B"/>
          <w:sz w:val="28"/>
          <w:szCs w:val="28"/>
          <w:shd w:val="clear" w:color="auto" w:fill="FFFFFF"/>
        </w:rPr>
        <w:t xml:space="preserve"> </w:t>
      </w:r>
      <w:r w:rsidR="00FC179E" w:rsidRPr="006D74A2">
        <w:rPr>
          <w:rFonts w:ascii="ProbaPro" w:hAnsi="ProbaPro"/>
          <w:b/>
          <w:color w:val="1D1D1B"/>
          <w:sz w:val="28"/>
          <w:szCs w:val="28"/>
          <w:shd w:val="clear" w:color="auto" w:fill="FFFFFF"/>
        </w:rPr>
        <w:t xml:space="preserve">міської </w:t>
      </w:r>
      <w:r w:rsidR="00212644">
        <w:rPr>
          <w:rFonts w:ascii="ProbaPro" w:hAnsi="ProbaPro"/>
          <w:b/>
          <w:color w:val="1D1D1B"/>
          <w:sz w:val="28"/>
          <w:szCs w:val="28"/>
          <w:shd w:val="clear" w:color="auto" w:fill="FFFFFF"/>
        </w:rPr>
        <w:t>територіальної громади</w:t>
      </w:r>
      <w:r w:rsidR="00D217AE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за </w:t>
      </w:r>
      <w:r w:rsidR="00CB6FA8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січень</w:t>
      </w:r>
      <w:r w:rsidR="00637995" w:rsidRPr="00637995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-</w:t>
      </w:r>
      <w:r w:rsidR="00707AB2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квітень</w:t>
      </w:r>
      <w:r w:rsidR="00D217AE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</w:t>
      </w:r>
      <w:r w:rsidR="00FB71C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</w:t>
      </w:r>
      <w:r w:rsidR="00D217AE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1E618F" w:rsidRPr="009B47EA" w:rsidRDefault="001E618F" w:rsidP="001E618F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</w:pPr>
    </w:p>
    <w:p w:rsidR="007746B2" w:rsidRPr="009B47EA" w:rsidRDefault="008A2C94" w:rsidP="001E61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B47EA">
        <w:rPr>
          <w:rFonts w:ascii="Times New Roman" w:hAnsi="Times New Roman" w:cs="Times New Roman"/>
          <w:b/>
          <w:color w:val="000000"/>
          <w:sz w:val="24"/>
          <w:szCs w:val="24"/>
        </w:rPr>
        <w:t>Станом на 01.0</w:t>
      </w:r>
      <w:r w:rsidR="00707AB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B47E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217AE" w:rsidRPr="009B47EA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FB71C9" w:rsidRPr="009B47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217AE" w:rsidRPr="009B47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79E" w:rsidRPr="009B47EA">
        <w:rPr>
          <w:rFonts w:ascii="Times New Roman" w:hAnsi="Times New Roman" w:cs="Times New Roman"/>
          <w:b/>
          <w:color w:val="000000"/>
          <w:sz w:val="24"/>
          <w:szCs w:val="24"/>
        </w:rPr>
        <w:t>року</w:t>
      </w:r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доходи загального фонду </w:t>
      </w:r>
      <w:r w:rsidR="007746B2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бюджету </w:t>
      </w:r>
      <w:proofErr w:type="spellStart"/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>Рогатинської</w:t>
      </w:r>
      <w:proofErr w:type="spellEnd"/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7746B2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іської територіальної громади </w:t>
      </w:r>
      <w:r w:rsidR="009F6C78" w:rsidRPr="009B47EA">
        <w:rPr>
          <w:rFonts w:ascii="Times New Roman" w:hAnsi="Times New Roman" w:cs="Times New Roman"/>
          <w:color w:val="000000"/>
          <w:sz w:val="24"/>
          <w:szCs w:val="24"/>
        </w:rPr>
        <w:t>з урахув</w:t>
      </w:r>
      <w:r w:rsidR="007746B2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анням міжбюджетних трансфертів </w:t>
      </w:r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склали </w:t>
      </w:r>
      <w:r w:rsidR="00707AB2">
        <w:rPr>
          <w:rFonts w:ascii="Times New Roman" w:hAnsi="Times New Roman" w:cs="Times New Roman"/>
          <w:color w:val="000000"/>
          <w:sz w:val="24"/>
          <w:szCs w:val="24"/>
        </w:rPr>
        <w:t>92659,3</w:t>
      </w:r>
      <w:r w:rsidR="00E33E15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6B2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тис. грн., </w:t>
      </w:r>
      <w:r w:rsidR="00FD3C99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або </w:t>
      </w:r>
      <w:r w:rsidR="00707AB2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FD3C99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3C99" w:rsidRPr="009B47EA">
        <w:rPr>
          <w:rFonts w:ascii="Times New Roman" w:hAnsi="Times New Roman" w:cs="Times New Roman"/>
          <w:color w:val="000000"/>
          <w:sz w:val="24"/>
          <w:szCs w:val="24"/>
        </w:rPr>
        <w:t>відс</w:t>
      </w:r>
      <w:proofErr w:type="spellEnd"/>
      <w:r w:rsidR="00FD3C99" w:rsidRPr="009B47EA">
        <w:rPr>
          <w:rFonts w:ascii="Times New Roman" w:hAnsi="Times New Roman" w:cs="Times New Roman"/>
          <w:color w:val="000000"/>
          <w:sz w:val="24"/>
          <w:szCs w:val="24"/>
        </w:rPr>
        <w:t>. (+</w:t>
      </w:r>
      <w:r w:rsidR="00707AB2">
        <w:rPr>
          <w:rFonts w:ascii="Times New Roman" w:hAnsi="Times New Roman" w:cs="Times New Roman"/>
          <w:color w:val="000000"/>
          <w:sz w:val="24"/>
          <w:szCs w:val="24"/>
        </w:rPr>
        <w:t>9151,4</w:t>
      </w:r>
      <w:r w:rsidR="00612F0E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C99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тис.</w:t>
      </w:r>
      <w:r w:rsidR="00C5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C99" w:rsidRPr="009B47EA">
        <w:rPr>
          <w:rFonts w:ascii="Times New Roman" w:hAnsi="Times New Roman" w:cs="Times New Roman"/>
          <w:color w:val="000000"/>
          <w:sz w:val="24"/>
          <w:szCs w:val="24"/>
        </w:rPr>
        <w:t>грн.) до затвердженого плану з урахуванням змін, і зросли проти відповідного періоду минулого року на</w:t>
      </w:r>
      <w:r w:rsidR="00895F88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FD0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313E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5F88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5F88" w:rsidRPr="009B47EA">
        <w:rPr>
          <w:rFonts w:ascii="Times New Roman" w:hAnsi="Times New Roman" w:cs="Times New Roman"/>
          <w:color w:val="000000"/>
          <w:sz w:val="24"/>
          <w:szCs w:val="24"/>
        </w:rPr>
        <w:t>відс</w:t>
      </w:r>
      <w:proofErr w:type="spellEnd"/>
      <w:r w:rsidR="00895F88" w:rsidRPr="009B47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3C99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9D7" w:rsidRPr="009B47EA">
        <w:rPr>
          <w:rFonts w:ascii="Times New Roman" w:hAnsi="Times New Roman" w:cs="Times New Roman"/>
          <w:color w:val="000000"/>
          <w:sz w:val="24"/>
          <w:szCs w:val="24"/>
        </w:rPr>
        <w:t>(+</w:t>
      </w:r>
      <w:r w:rsidR="00707AB2">
        <w:rPr>
          <w:rFonts w:ascii="Times New Roman" w:hAnsi="Times New Roman" w:cs="Times New Roman"/>
          <w:color w:val="000000"/>
          <w:sz w:val="24"/>
          <w:szCs w:val="24"/>
        </w:rPr>
        <w:t>187,3</w:t>
      </w:r>
      <w:r w:rsidR="00AC79D7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тис</w:t>
      </w:r>
      <w:r w:rsidR="006A448F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9D7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.грн) з </w:t>
      </w:r>
      <w:r w:rsidR="007746B2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них : </w:t>
      </w:r>
    </w:p>
    <w:p w:rsidR="007746B2" w:rsidRPr="009B47EA" w:rsidRDefault="007746B2" w:rsidP="001E61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- власні надходження </w:t>
      </w:r>
      <w:r w:rsidR="001E618F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(без трансфертів) </w:t>
      </w:r>
      <w:r w:rsidR="0034344B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13E37">
        <w:rPr>
          <w:rFonts w:ascii="Times New Roman" w:hAnsi="Times New Roman" w:cs="Times New Roman"/>
          <w:color w:val="000000"/>
          <w:sz w:val="24"/>
          <w:szCs w:val="24"/>
        </w:rPr>
        <w:t>квітень</w:t>
      </w:r>
      <w:r w:rsidR="008A2C94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склали </w:t>
      </w:r>
      <w:r w:rsidR="00383D6F">
        <w:rPr>
          <w:rFonts w:ascii="Times New Roman" w:hAnsi="Times New Roman" w:cs="Times New Roman"/>
          <w:color w:val="000000"/>
          <w:sz w:val="24"/>
          <w:szCs w:val="24"/>
          <w:lang w:val="ru-RU"/>
        </w:rPr>
        <w:t>15130,6</w:t>
      </w:r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9F7" w:rsidRPr="009B47EA">
        <w:rPr>
          <w:rFonts w:ascii="Times New Roman" w:hAnsi="Times New Roman" w:cs="Times New Roman"/>
          <w:color w:val="000000"/>
          <w:sz w:val="24"/>
          <w:szCs w:val="24"/>
        </w:rPr>
        <w:t>тис</w:t>
      </w:r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. грн. або </w:t>
      </w:r>
      <w:r w:rsidR="00453BA2">
        <w:rPr>
          <w:rFonts w:ascii="Times New Roman" w:hAnsi="Times New Roman" w:cs="Times New Roman"/>
          <w:color w:val="000000"/>
          <w:sz w:val="24"/>
          <w:szCs w:val="24"/>
        </w:rPr>
        <w:t xml:space="preserve">98,2 </w:t>
      </w:r>
      <w:proofErr w:type="spellStart"/>
      <w:r w:rsidR="00453BA2">
        <w:rPr>
          <w:rFonts w:ascii="Times New Roman" w:hAnsi="Times New Roman" w:cs="Times New Roman"/>
          <w:color w:val="000000"/>
          <w:sz w:val="24"/>
          <w:szCs w:val="24"/>
        </w:rPr>
        <w:t>відс</w:t>
      </w:r>
      <w:proofErr w:type="spellEnd"/>
      <w:r w:rsidR="00453BA2">
        <w:rPr>
          <w:rFonts w:ascii="Times New Roman" w:hAnsi="Times New Roman" w:cs="Times New Roman"/>
          <w:color w:val="000000"/>
          <w:sz w:val="24"/>
          <w:szCs w:val="24"/>
        </w:rPr>
        <w:t xml:space="preserve">. (-283,2 </w:t>
      </w:r>
      <w:r w:rsidR="00CC09F7" w:rsidRPr="009B47EA">
        <w:rPr>
          <w:rFonts w:ascii="Times New Roman" w:hAnsi="Times New Roman" w:cs="Times New Roman"/>
          <w:color w:val="000000"/>
          <w:sz w:val="24"/>
          <w:szCs w:val="24"/>
        </w:rPr>
        <w:t>тис</w:t>
      </w:r>
      <w:r w:rsidR="00895F88" w:rsidRPr="009B47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3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>грн.) до затверд</w:t>
      </w:r>
      <w:r w:rsidR="00E2231A">
        <w:rPr>
          <w:rFonts w:ascii="Times New Roman" w:hAnsi="Times New Roman" w:cs="Times New Roman"/>
          <w:color w:val="000000"/>
          <w:sz w:val="24"/>
          <w:szCs w:val="24"/>
        </w:rPr>
        <w:t>женого плану з урахуванням змін (</w:t>
      </w:r>
      <w:r w:rsidR="00E2231A" w:rsidRPr="00FD1436">
        <w:rPr>
          <w:rFonts w:ascii="Times New Roman" w:hAnsi="Times New Roman"/>
          <w:color w:val="000000"/>
          <w:sz w:val="24"/>
          <w:szCs w:val="24"/>
        </w:rPr>
        <w:t xml:space="preserve">невиконання планових показників за </w:t>
      </w:r>
      <w:r w:rsidR="00E2231A">
        <w:rPr>
          <w:rFonts w:ascii="Times New Roman" w:hAnsi="Times New Roman"/>
          <w:color w:val="000000"/>
          <w:sz w:val="24"/>
          <w:szCs w:val="24"/>
        </w:rPr>
        <w:t>квітень</w:t>
      </w:r>
      <w:r w:rsidR="00E2231A" w:rsidRPr="00FD1436">
        <w:rPr>
          <w:rFonts w:ascii="Times New Roman" w:hAnsi="Times New Roman"/>
          <w:color w:val="000000"/>
          <w:sz w:val="24"/>
          <w:szCs w:val="24"/>
        </w:rPr>
        <w:t xml:space="preserve"> місяць </w:t>
      </w:r>
      <w:proofErr w:type="spellStart"/>
      <w:r w:rsidR="00E2231A" w:rsidRPr="00FD1436">
        <w:rPr>
          <w:rFonts w:ascii="Times New Roman" w:hAnsi="Times New Roman"/>
          <w:color w:val="000000"/>
          <w:sz w:val="24"/>
          <w:szCs w:val="24"/>
        </w:rPr>
        <w:t>виникло</w:t>
      </w:r>
      <w:proofErr w:type="spellEnd"/>
      <w:r w:rsidR="00E2231A" w:rsidRPr="00FD1436">
        <w:rPr>
          <w:rFonts w:ascii="Times New Roman" w:hAnsi="Times New Roman"/>
          <w:color w:val="000000"/>
          <w:sz w:val="24"/>
          <w:szCs w:val="24"/>
        </w:rPr>
        <w:t xml:space="preserve"> у зв’язку із збільшенням дохідної частини у </w:t>
      </w:r>
      <w:r w:rsidR="00E2231A">
        <w:rPr>
          <w:rFonts w:ascii="Times New Roman" w:hAnsi="Times New Roman"/>
          <w:color w:val="000000"/>
          <w:sz w:val="24"/>
          <w:szCs w:val="24"/>
        </w:rPr>
        <w:t>квітні</w:t>
      </w:r>
      <w:r w:rsidR="00E2231A" w:rsidRPr="00FD1436">
        <w:rPr>
          <w:rFonts w:ascii="Times New Roman" w:hAnsi="Times New Roman"/>
          <w:color w:val="000000"/>
          <w:sz w:val="24"/>
          <w:szCs w:val="24"/>
        </w:rPr>
        <w:t xml:space="preserve"> на + </w:t>
      </w:r>
      <w:r w:rsidR="00E2231A">
        <w:rPr>
          <w:rFonts w:ascii="Times New Roman" w:hAnsi="Times New Roman"/>
          <w:color w:val="000000"/>
          <w:sz w:val="24"/>
          <w:szCs w:val="24"/>
        </w:rPr>
        <w:t>2689,1</w:t>
      </w:r>
      <w:r w:rsidR="00E2231A" w:rsidRPr="00FD1436">
        <w:rPr>
          <w:rFonts w:ascii="Times New Roman" w:hAnsi="Times New Roman"/>
          <w:color w:val="000000"/>
          <w:sz w:val="24"/>
          <w:szCs w:val="24"/>
        </w:rPr>
        <w:t xml:space="preserve"> тис. грн. за рахунок перевиконання бюджету станом на 01.</w:t>
      </w:r>
      <w:r w:rsidR="00E2231A">
        <w:rPr>
          <w:rFonts w:ascii="Times New Roman" w:hAnsi="Times New Roman"/>
          <w:color w:val="000000"/>
          <w:sz w:val="24"/>
          <w:szCs w:val="24"/>
        </w:rPr>
        <w:t>04</w:t>
      </w:r>
      <w:r w:rsidR="00E2231A" w:rsidRPr="00FD1436">
        <w:rPr>
          <w:rFonts w:ascii="Times New Roman" w:hAnsi="Times New Roman"/>
          <w:color w:val="000000"/>
          <w:sz w:val="24"/>
          <w:szCs w:val="24"/>
        </w:rPr>
        <w:t>.</w:t>
      </w:r>
      <w:r w:rsidR="00E2231A">
        <w:rPr>
          <w:rFonts w:ascii="Times New Roman" w:hAnsi="Times New Roman"/>
          <w:color w:val="000000"/>
          <w:sz w:val="24"/>
          <w:szCs w:val="24"/>
        </w:rPr>
        <w:t>2024</w:t>
      </w:r>
      <w:r w:rsidR="00E2231A" w:rsidRPr="00FD1436">
        <w:rPr>
          <w:rFonts w:ascii="Times New Roman" w:hAnsi="Times New Roman"/>
          <w:color w:val="000000"/>
          <w:sz w:val="24"/>
          <w:szCs w:val="24"/>
        </w:rPr>
        <w:t xml:space="preserve"> рік</w:t>
      </w:r>
      <w:r w:rsidR="00E2231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r w:rsidR="00CB6FA8" w:rsidRPr="009B47EA">
        <w:rPr>
          <w:rFonts w:ascii="Times New Roman" w:hAnsi="Times New Roman" w:cs="Times New Roman"/>
          <w:color w:val="000000"/>
          <w:sz w:val="24"/>
          <w:szCs w:val="24"/>
        </w:rPr>
        <w:t>зросли</w:t>
      </w:r>
      <w:r w:rsidR="00F32D1C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проти відповідного періоду минулого року на </w:t>
      </w:r>
      <w:r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BA2">
        <w:rPr>
          <w:rFonts w:ascii="Times New Roman" w:hAnsi="Times New Roman" w:cs="Times New Roman"/>
          <w:color w:val="000000"/>
          <w:sz w:val="24"/>
          <w:szCs w:val="24"/>
        </w:rPr>
        <w:t>113,3</w:t>
      </w:r>
      <w:r w:rsidR="0066702C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тис.</w:t>
      </w:r>
      <w:r w:rsidR="006A448F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02C" w:rsidRPr="009B47EA">
        <w:rPr>
          <w:rFonts w:ascii="Times New Roman" w:hAnsi="Times New Roman" w:cs="Times New Roman"/>
          <w:color w:val="000000"/>
          <w:sz w:val="24"/>
          <w:szCs w:val="24"/>
        </w:rPr>
        <w:t>грн.</w:t>
      </w:r>
      <w:r w:rsidR="006A448F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02C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або  </w:t>
      </w:r>
      <w:r w:rsidR="00453BA2">
        <w:rPr>
          <w:rFonts w:ascii="Times New Roman" w:hAnsi="Times New Roman" w:cs="Times New Roman"/>
          <w:color w:val="000000"/>
          <w:sz w:val="24"/>
          <w:szCs w:val="24"/>
        </w:rPr>
        <w:t>0,8</w:t>
      </w:r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79E" w:rsidRPr="009B47EA">
        <w:rPr>
          <w:rFonts w:ascii="Times New Roman" w:hAnsi="Times New Roman" w:cs="Times New Roman"/>
          <w:color w:val="000000"/>
          <w:sz w:val="24"/>
          <w:szCs w:val="24"/>
        </w:rPr>
        <w:t>відс</w:t>
      </w:r>
      <w:proofErr w:type="spellEnd"/>
      <w:r w:rsidR="0066702C" w:rsidRPr="009B47EA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6B527C" w:rsidRPr="009B47EA" w:rsidRDefault="00723505" w:rsidP="001E61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офіційних</w:t>
      </w:r>
      <w:r w:rsidR="007746B2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r w:rsidR="001E618F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453BA2">
        <w:rPr>
          <w:rFonts w:ascii="Times New Roman" w:hAnsi="Times New Roman" w:cs="Times New Roman"/>
          <w:color w:val="000000"/>
          <w:sz w:val="24"/>
          <w:szCs w:val="24"/>
        </w:rPr>
        <w:t>квітень</w:t>
      </w:r>
      <w:r w:rsidR="002A2916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18F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надійшло </w:t>
      </w:r>
      <w:r w:rsidR="00DF7C01">
        <w:rPr>
          <w:rFonts w:ascii="Times New Roman" w:hAnsi="Times New Roman" w:cs="Times New Roman"/>
          <w:color w:val="000000"/>
          <w:sz w:val="24"/>
          <w:szCs w:val="24"/>
        </w:rPr>
        <w:t>9788,9</w:t>
      </w:r>
      <w:r w:rsidR="009F6C78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тис.</w:t>
      </w:r>
      <w:r w:rsidR="00355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18F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грн. з них : базова дотація – </w:t>
      </w:r>
      <w:r w:rsidR="006A448F" w:rsidRPr="009B47EA">
        <w:rPr>
          <w:rFonts w:ascii="Times New Roman" w:hAnsi="Times New Roman" w:cs="Times New Roman"/>
          <w:color w:val="000000"/>
          <w:sz w:val="24"/>
          <w:szCs w:val="24"/>
        </w:rPr>
        <w:t>1550,2</w:t>
      </w:r>
      <w:r w:rsidR="009F6C78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тис.</w:t>
      </w:r>
      <w:r w:rsidR="001E618F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грн., освітня субвенція – </w:t>
      </w:r>
      <w:r w:rsidR="00DF7C01">
        <w:rPr>
          <w:rFonts w:ascii="Times New Roman" w:hAnsi="Times New Roman" w:cs="Times New Roman"/>
          <w:color w:val="000000"/>
          <w:sz w:val="24"/>
          <w:szCs w:val="24"/>
        </w:rPr>
        <w:t>8093,5</w:t>
      </w:r>
      <w:r w:rsidR="00C928AD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тис. грн.</w:t>
      </w:r>
      <w:r w:rsidR="009F6C78" w:rsidRPr="009B47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5AD6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707">
        <w:rPr>
          <w:rFonts w:ascii="Times New Roman" w:hAnsi="Times New Roman" w:cs="Times New Roman"/>
          <w:color w:val="000000"/>
          <w:sz w:val="24"/>
          <w:szCs w:val="24"/>
        </w:rPr>
        <w:t>інші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субвенці</w:t>
      </w:r>
      <w:r w:rsidR="00040707">
        <w:rPr>
          <w:rFonts w:ascii="Times New Roman" w:hAnsi="Times New Roman" w:cs="Times New Roman"/>
          <w:color w:val="000000"/>
          <w:sz w:val="24"/>
          <w:szCs w:val="24"/>
        </w:rPr>
        <w:t xml:space="preserve">ї </w:t>
      </w:r>
      <w:r w:rsidR="009F6C78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з місцевих бюджетів </w:t>
      </w:r>
      <w:r w:rsidR="00717728" w:rsidRPr="009B47E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767A9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C01">
        <w:rPr>
          <w:rFonts w:ascii="Times New Roman" w:hAnsi="Times New Roman" w:cs="Times New Roman"/>
          <w:color w:val="000000"/>
          <w:sz w:val="24"/>
          <w:szCs w:val="24"/>
        </w:rPr>
        <w:t>145,2</w:t>
      </w:r>
      <w:r w:rsidR="00C928AD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C78" w:rsidRPr="009B47EA">
        <w:rPr>
          <w:rFonts w:ascii="Times New Roman" w:hAnsi="Times New Roman" w:cs="Times New Roman"/>
          <w:color w:val="000000"/>
          <w:sz w:val="24"/>
          <w:szCs w:val="24"/>
        </w:rPr>
        <w:t>тис.</w:t>
      </w:r>
      <w:r w:rsidR="007746B2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27C" w:rsidRPr="009B47EA">
        <w:rPr>
          <w:rFonts w:ascii="Times New Roman" w:hAnsi="Times New Roman" w:cs="Times New Roman"/>
          <w:color w:val="000000"/>
          <w:sz w:val="24"/>
          <w:szCs w:val="24"/>
        </w:rPr>
        <w:t>грн.</w:t>
      </w:r>
    </w:p>
    <w:p w:rsidR="00FC179E" w:rsidRDefault="009F6C78" w:rsidP="001E618F">
      <w:pPr>
        <w:shd w:val="clear" w:color="auto" w:fill="FFFFFF"/>
        <w:spacing w:after="0" w:line="240" w:lineRule="auto"/>
        <w:jc w:val="both"/>
        <w:textAlignment w:val="baseline"/>
        <w:rPr>
          <w:rFonts w:ascii="ProbaPro" w:hAnsi="ProbaPro"/>
          <w:color w:val="000000"/>
          <w:sz w:val="24"/>
          <w:szCs w:val="24"/>
        </w:rPr>
      </w:pPr>
      <w:r>
        <w:rPr>
          <w:rFonts w:ascii="ProbaPro" w:hAnsi="ProbaPro"/>
          <w:color w:val="000000"/>
          <w:sz w:val="24"/>
          <w:szCs w:val="24"/>
        </w:rPr>
        <w:t>.</w:t>
      </w:r>
    </w:p>
    <w:p w:rsidR="00C26E54" w:rsidRDefault="006B527C" w:rsidP="006B527C">
      <w:pPr>
        <w:shd w:val="clear" w:color="auto" w:fill="FFFFFF"/>
        <w:spacing w:after="0" w:line="240" w:lineRule="auto"/>
        <w:textAlignment w:val="baseline"/>
        <w:rPr>
          <w:rFonts w:ascii="ProbaPro" w:hAnsi="ProbaPro"/>
          <w:color w:val="000000"/>
          <w:sz w:val="24"/>
          <w:szCs w:val="24"/>
        </w:rPr>
      </w:pPr>
      <w:r w:rsidRPr="006B527C">
        <w:rPr>
          <w:rFonts w:ascii="ProbaPro" w:hAnsi="ProbaPro"/>
          <w:b/>
          <w:color w:val="000000"/>
          <w:sz w:val="24"/>
          <w:szCs w:val="24"/>
        </w:rPr>
        <w:t>Надходження</w:t>
      </w:r>
      <w:r w:rsidR="001E618F" w:rsidRPr="006B527C">
        <w:rPr>
          <w:rFonts w:ascii="ProbaPro" w:hAnsi="ProbaPro"/>
          <w:b/>
          <w:color w:val="000000"/>
          <w:sz w:val="24"/>
          <w:szCs w:val="24"/>
        </w:rPr>
        <w:t xml:space="preserve">  </w:t>
      </w:r>
      <w:r w:rsidRPr="006B527C">
        <w:rPr>
          <w:rFonts w:ascii="ProbaPro" w:hAnsi="ProbaPro"/>
          <w:b/>
          <w:color w:val="000000"/>
          <w:sz w:val="24"/>
          <w:szCs w:val="24"/>
        </w:rPr>
        <w:t>до загального фонду бюджету громади</w:t>
      </w:r>
      <w:r w:rsidR="001E618F">
        <w:rPr>
          <w:rFonts w:ascii="ProbaPro" w:hAnsi="ProbaPro"/>
          <w:color w:val="000000"/>
          <w:sz w:val="24"/>
          <w:szCs w:val="24"/>
        </w:rPr>
        <w:t xml:space="preserve">                                           </w:t>
      </w:r>
      <w:r>
        <w:rPr>
          <w:rFonts w:ascii="ProbaPro" w:hAnsi="ProbaPro"/>
          <w:color w:val="000000"/>
          <w:sz w:val="24"/>
          <w:szCs w:val="24"/>
        </w:rPr>
        <w:t>тис</w:t>
      </w:r>
      <w:r w:rsidR="003554F7">
        <w:rPr>
          <w:rFonts w:ascii="ProbaPro" w:hAnsi="ProbaPro"/>
          <w:color w:val="000000"/>
          <w:sz w:val="24"/>
          <w:szCs w:val="24"/>
        </w:rPr>
        <w:t xml:space="preserve"> </w:t>
      </w:r>
      <w:r>
        <w:rPr>
          <w:rFonts w:ascii="ProbaPro" w:hAnsi="ProbaPro"/>
          <w:color w:val="000000"/>
          <w:sz w:val="24"/>
          <w:szCs w:val="24"/>
        </w:rPr>
        <w:t>.грн.</w:t>
      </w:r>
    </w:p>
    <w:p w:rsidR="00192FD2" w:rsidRDefault="00192FD2" w:rsidP="009B47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44" w:type="dxa"/>
        <w:tblInd w:w="108" w:type="dxa"/>
        <w:tblLook w:val="04A0" w:firstRow="1" w:lastRow="0" w:firstColumn="1" w:lastColumn="0" w:noHBand="0" w:noVBand="1"/>
      </w:tblPr>
      <w:tblGrid>
        <w:gridCol w:w="1176"/>
        <w:gridCol w:w="2036"/>
        <w:gridCol w:w="976"/>
        <w:gridCol w:w="976"/>
        <w:gridCol w:w="976"/>
        <w:gridCol w:w="976"/>
        <w:gridCol w:w="976"/>
        <w:gridCol w:w="976"/>
        <w:gridCol w:w="976"/>
      </w:tblGrid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4F4353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-215265</wp:posOffset>
                  </wp:positionV>
                  <wp:extent cx="6096000" cy="2628900"/>
                  <wp:effectExtent l="0" t="0" r="0" b="0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F4353" w:rsidRPr="004F435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353" w:rsidRPr="004A1FB9" w:rsidRDefault="004F4353" w:rsidP="004F4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RU"/>
                    </w:rPr>
                  </w:pPr>
                </w:p>
              </w:tc>
            </w:tr>
          </w:tbl>
          <w:p w:rsidR="004F4353" w:rsidRPr="004A1FB9" w:rsidRDefault="004F4353" w:rsidP="004F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F435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92FD2" w:rsidRDefault="00192FD2" w:rsidP="009B47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537" w:rsidRDefault="00580FB3" w:rsidP="00C51B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Станом на 01.05</w:t>
      </w:r>
      <w:r w:rsidR="004F6A30" w:rsidRPr="009B47EA">
        <w:rPr>
          <w:rFonts w:ascii="Times New Roman" w:hAnsi="Times New Roman" w:cs="Times New Roman"/>
          <w:b/>
          <w:color w:val="000000"/>
          <w:sz w:val="24"/>
          <w:szCs w:val="24"/>
        </w:rPr>
        <w:t>.2024 року</w:t>
      </w:r>
      <w:r w:rsidR="00EB7D19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доходи </w:t>
      </w:r>
      <w:r w:rsidR="00116143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спеціального фонду бюджету </w:t>
      </w:r>
      <w:proofErr w:type="spellStart"/>
      <w:r w:rsidR="00116143" w:rsidRPr="009B47EA">
        <w:rPr>
          <w:rFonts w:ascii="Times New Roman" w:hAnsi="Times New Roman" w:cs="Times New Roman"/>
          <w:color w:val="000000"/>
          <w:sz w:val="24"/>
          <w:szCs w:val="24"/>
        </w:rPr>
        <w:t>Рогатинської</w:t>
      </w:r>
      <w:proofErr w:type="spellEnd"/>
      <w:r w:rsidR="00116143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територіальної громади (без урахування трансфертів )</w:t>
      </w:r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склали </w:t>
      </w:r>
      <w:r>
        <w:rPr>
          <w:rFonts w:ascii="Times New Roman" w:hAnsi="Times New Roman" w:cs="Times New Roman"/>
          <w:color w:val="000000"/>
          <w:sz w:val="24"/>
          <w:szCs w:val="24"/>
        </w:rPr>
        <w:t>6861,1</w:t>
      </w:r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тис. грн. або </w:t>
      </w:r>
      <w:r>
        <w:rPr>
          <w:rFonts w:ascii="Times New Roman" w:hAnsi="Times New Roman" w:cs="Times New Roman"/>
          <w:color w:val="000000"/>
          <w:sz w:val="24"/>
          <w:szCs w:val="24"/>
        </w:rPr>
        <w:t>237,5</w:t>
      </w:r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>відс</w:t>
      </w:r>
      <w:proofErr w:type="spellEnd"/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>. (+</w:t>
      </w:r>
      <w:r>
        <w:rPr>
          <w:rFonts w:ascii="Times New Roman" w:hAnsi="Times New Roman" w:cs="Times New Roman"/>
          <w:color w:val="000000"/>
          <w:sz w:val="24"/>
          <w:szCs w:val="24"/>
        </w:rPr>
        <w:t>3972,7</w:t>
      </w:r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тис.</w:t>
      </w:r>
      <w:r w:rsidR="00C5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>грн.) до затвердж</w:t>
      </w:r>
      <w:r w:rsidR="00216412">
        <w:rPr>
          <w:rFonts w:ascii="Times New Roman" w:hAnsi="Times New Roman" w:cs="Times New Roman"/>
          <w:color w:val="000000"/>
          <w:sz w:val="24"/>
          <w:szCs w:val="24"/>
        </w:rPr>
        <w:t xml:space="preserve">еного плану з урахуванням змін зросли проти відповідного періоду минулого року на </w:t>
      </w:r>
      <w:r>
        <w:rPr>
          <w:rFonts w:ascii="Times New Roman" w:hAnsi="Times New Roman" w:cs="Times New Roman"/>
          <w:color w:val="000000"/>
          <w:sz w:val="24"/>
          <w:szCs w:val="24"/>
        </w:rPr>
        <w:t>649,1</w:t>
      </w:r>
      <w:r w:rsidR="00216412">
        <w:rPr>
          <w:rFonts w:ascii="Times New Roman" w:hAnsi="Times New Roman" w:cs="Times New Roman"/>
          <w:color w:val="000000"/>
          <w:sz w:val="24"/>
          <w:szCs w:val="24"/>
        </w:rPr>
        <w:t xml:space="preserve"> тис. грн. або</w:t>
      </w:r>
      <w:r w:rsidR="00192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10,4</w:t>
      </w:r>
      <w:r w:rsidR="00192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FD2">
        <w:rPr>
          <w:rFonts w:ascii="Times New Roman" w:hAnsi="Times New Roman" w:cs="Times New Roman"/>
          <w:color w:val="000000"/>
          <w:sz w:val="24"/>
          <w:szCs w:val="24"/>
        </w:rPr>
        <w:t>відс</w:t>
      </w:r>
      <w:proofErr w:type="spellEnd"/>
      <w:r w:rsidR="00192FD2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116143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5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F6A30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власні надходження </w:t>
      </w:r>
      <w:r w:rsidR="00116143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</w:rPr>
        <w:t>квітень</w:t>
      </w:r>
      <w:r w:rsidR="00116143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склали </w:t>
      </w:r>
      <w:r>
        <w:rPr>
          <w:rFonts w:ascii="Times New Roman" w:hAnsi="Times New Roman" w:cs="Times New Roman"/>
          <w:color w:val="000000"/>
          <w:sz w:val="24"/>
          <w:szCs w:val="24"/>
        </w:rPr>
        <w:t>842,5</w:t>
      </w:r>
      <w:r w:rsidR="00116143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тис. грн. що на </w:t>
      </w:r>
      <w:r>
        <w:rPr>
          <w:rFonts w:ascii="Times New Roman" w:hAnsi="Times New Roman" w:cs="Times New Roman"/>
          <w:color w:val="000000"/>
          <w:sz w:val="24"/>
          <w:szCs w:val="24"/>
        </w:rPr>
        <w:t>145,2</w:t>
      </w:r>
      <w:r w:rsidR="00116143" w:rsidRPr="009B47EA">
        <w:rPr>
          <w:rFonts w:ascii="Times New Roman" w:hAnsi="Times New Roman" w:cs="Times New Roman"/>
          <w:color w:val="000000"/>
          <w:sz w:val="24"/>
          <w:szCs w:val="24"/>
        </w:rPr>
        <w:t xml:space="preserve"> тис. грн.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більше </w:t>
      </w:r>
      <w:r w:rsidR="00116143" w:rsidRPr="009B47EA">
        <w:rPr>
          <w:rFonts w:ascii="Times New Roman" w:hAnsi="Times New Roman" w:cs="Times New Roman"/>
          <w:color w:val="000000"/>
          <w:sz w:val="24"/>
          <w:szCs w:val="24"/>
        </w:rPr>
        <w:t>відповідного періоду минулого року.</w:t>
      </w:r>
    </w:p>
    <w:p w:rsidR="00192FD2" w:rsidRDefault="00192FD2" w:rsidP="009B47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F4353" w:rsidRDefault="004A1FB9" w:rsidP="00FC179E">
      <w:pPr>
        <w:pStyle w:val="a7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</w:rPr>
      </w:pPr>
      <w:bookmarkStart w:id="0" w:name="_GoBack"/>
      <w:r w:rsidRPr="004F4353">
        <w:rPr>
          <w:rFonts w:ascii="Calibri" w:hAnsi="Calibri" w:cs="Calibri"/>
          <w:noProof/>
          <w:color w:val="00000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CF9CCA" wp14:editId="32BEC275">
            <wp:simplePos x="0" y="0"/>
            <wp:positionH relativeFrom="column">
              <wp:posOffset>5081</wp:posOffset>
            </wp:positionH>
            <wp:positionV relativeFrom="paragraph">
              <wp:posOffset>266700</wp:posOffset>
            </wp:positionV>
            <wp:extent cx="5924550" cy="1866900"/>
            <wp:effectExtent l="0" t="0" r="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527C" w:rsidRPr="006B527C">
        <w:rPr>
          <w:rFonts w:ascii="ProbaPro" w:hAnsi="ProbaPro"/>
          <w:b/>
          <w:color w:val="000000"/>
        </w:rPr>
        <w:t>Надходження  до спеціального  фонду бюджету громади</w:t>
      </w:r>
      <w:r w:rsidR="006B527C">
        <w:rPr>
          <w:rFonts w:ascii="ProbaPro" w:hAnsi="ProbaPro"/>
          <w:color w:val="000000"/>
        </w:rPr>
        <w:t xml:space="preserve">                                         тис.</w:t>
      </w:r>
      <w:r w:rsidR="003554F7">
        <w:rPr>
          <w:rFonts w:ascii="ProbaPro" w:hAnsi="ProbaPro"/>
          <w:color w:val="000000"/>
        </w:rPr>
        <w:t xml:space="preserve"> </w:t>
      </w:r>
      <w:r w:rsidR="006B527C">
        <w:rPr>
          <w:rFonts w:ascii="ProbaPro" w:hAnsi="ProbaPro"/>
          <w:color w:val="000000"/>
        </w:rPr>
        <w:t xml:space="preserve">грн.  </w:t>
      </w:r>
      <w:r w:rsidR="001E618F">
        <w:rPr>
          <w:rFonts w:ascii="ProbaPro" w:hAnsi="ProbaPro"/>
          <w:color w:val="000000"/>
        </w:rPr>
        <w:t xml:space="preserve">                                                                                                                  </w:t>
      </w:r>
      <w:r w:rsidR="006B527C">
        <w:rPr>
          <w:rFonts w:ascii="ProbaPro" w:hAnsi="ProbaPro"/>
          <w:color w:val="000000"/>
        </w:rPr>
        <w:t xml:space="preserve">           </w:t>
      </w:r>
      <w:r w:rsidR="001E618F">
        <w:rPr>
          <w:rFonts w:ascii="ProbaPro" w:hAnsi="ProbaPro"/>
          <w:color w:val="000000"/>
        </w:rPr>
        <w:t>.</w:t>
      </w:r>
    </w:p>
    <w:tbl>
      <w:tblPr>
        <w:tblW w:w="10044" w:type="dxa"/>
        <w:tblInd w:w="108" w:type="dxa"/>
        <w:tblLook w:val="04A0" w:firstRow="1" w:lastRow="0" w:firstColumn="1" w:lastColumn="0" w:noHBand="0" w:noVBand="1"/>
      </w:tblPr>
      <w:tblGrid>
        <w:gridCol w:w="1176"/>
        <w:gridCol w:w="2036"/>
        <w:gridCol w:w="976"/>
        <w:gridCol w:w="976"/>
        <w:gridCol w:w="976"/>
        <w:gridCol w:w="976"/>
        <w:gridCol w:w="976"/>
        <w:gridCol w:w="976"/>
        <w:gridCol w:w="976"/>
      </w:tblGrid>
      <w:tr w:rsidR="004F4353" w:rsidRPr="004F4353" w:rsidTr="004A1FB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A1FB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F4353" w:rsidRPr="004F435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353" w:rsidRPr="004A1FB9" w:rsidRDefault="004F4353" w:rsidP="004F4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RU"/>
                    </w:rPr>
                  </w:pPr>
                </w:p>
              </w:tc>
            </w:tr>
          </w:tbl>
          <w:p w:rsidR="004F4353" w:rsidRPr="004A1FB9" w:rsidRDefault="004F4353" w:rsidP="004F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A1FB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A1FB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353" w:rsidRPr="004F4353" w:rsidTr="004A1FB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53" w:rsidRPr="004A1FB9" w:rsidRDefault="004F4353" w:rsidP="004F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B74AE" w:rsidRPr="00107A0A" w:rsidRDefault="00BB74AE" w:rsidP="00107A0A">
      <w:pPr>
        <w:tabs>
          <w:tab w:val="left" w:pos="20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Оперативна інформація про стан виконання видатків по бюджету </w:t>
      </w:r>
      <w:proofErr w:type="spellStart"/>
      <w:r w:rsidRPr="00107A0A">
        <w:rPr>
          <w:rFonts w:ascii="Times New Roman" w:hAnsi="Times New Roman" w:cs="Times New Roman"/>
          <w:b/>
          <w:sz w:val="28"/>
          <w:szCs w:val="28"/>
        </w:rPr>
        <w:t>Рогатинської</w:t>
      </w:r>
      <w:proofErr w:type="spellEnd"/>
      <w:r w:rsidRPr="00107A0A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 за січень-квітень 2024 р.</w:t>
      </w:r>
    </w:p>
    <w:p w:rsidR="00BB74AE" w:rsidRPr="00A94ACD" w:rsidRDefault="00BB74AE" w:rsidP="00BB74AE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Станом на 01.05.2024</w:t>
      </w:r>
      <w:r w:rsidRPr="00A94ACD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A94ACD">
        <w:rPr>
          <w:rFonts w:ascii="Times New Roman" w:hAnsi="Times New Roman" w:cs="Times New Roman"/>
          <w:sz w:val="24"/>
          <w:szCs w:val="24"/>
        </w:rPr>
        <w:t xml:space="preserve"> видатків з бюджету територі</w:t>
      </w:r>
      <w:r>
        <w:rPr>
          <w:rFonts w:ascii="Times New Roman" w:hAnsi="Times New Roman" w:cs="Times New Roman"/>
          <w:sz w:val="24"/>
          <w:szCs w:val="24"/>
        </w:rPr>
        <w:t xml:space="preserve">альної громади на загальну суму 101390,9  </w:t>
      </w:r>
      <w:r w:rsidRPr="00A94ACD">
        <w:rPr>
          <w:rFonts w:ascii="Times New Roman" w:hAnsi="Times New Roman" w:cs="Times New Roman"/>
          <w:sz w:val="24"/>
          <w:szCs w:val="24"/>
        </w:rPr>
        <w:t>тис. грн., з них видатки:</w:t>
      </w:r>
    </w:p>
    <w:p w:rsidR="00BB74AE" w:rsidRPr="00A94ACD" w:rsidRDefault="00BB74AE" w:rsidP="00BB74AE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CD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 xml:space="preserve">агального фонду бюджету за січень-квітень </w:t>
      </w:r>
      <w:r w:rsidRPr="00A94A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024 року виконані в сумі 92711,3 тис. грн. або 71,45 </w:t>
      </w:r>
      <w:r w:rsidRPr="00A94ACD">
        <w:rPr>
          <w:rFonts w:ascii="Times New Roman" w:hAnsi="Times New Roman" w:cs="Times New Roman"/>
          <w:sz w:val="24"/>
          <w:szCs w:val="24"/>
        </w:rPr>
        <w:t>відсотка</w:t>
      </w:r>
      <w:r>
        <w:rPr>
          <w:rFonts w:ascii="Times New Roman" w:hAnsi="Times New Roman" w:cs="Times New Roman"/>
          <w:sz w:val="24"/>
          <w:szCs w:val="24"/>
        </w:rPr>
        <w:t xml:space="preserve"> до плану на вказаний період з урахуванням змін</w:t>
      </w:r>
      <w:r w:rsidRPr="00A94A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74AE" w:rsidRPr="00A94ACD" w:rsidRDefault="00BB74AE" w:rsidP="00BB74AE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CD">
        <w:rPr>
          <w:rFonts w:ascii="Times New Roman" w:hAnsi="Times New Roman" w:cs="Times New Roman"/>
          <w:sz w:val="24"/>
          <w:szCs w:val="24"/>
        </w:rPr>
        <w:t>- спеціального фонду –</w:t>
      </w:r>
      <w:r>
        <w:rPr>
          <w:rFonts w:ascii="Times New Roman" w:hAnsi="Times New Roman" w:cs="Times New Roman"/>
          <w:sz w:val="24"/>
          <w:szCs w:val="24"/>
        </w:rPr>
        <w:t xml:space="preserve"> 8679,6 тис. грн. або 61,7 відсотка до плану на вказаний період з урахуванням змін</w:t>
      </w:r>
      <w:r w:rsidRPr="00A94ACD">
        <w:rPr>
          <w:rFonts w:ascii="Times New Roman" w:hAnsi="Times New Roman" w:cs="Times New Roman"/>
          <w:sz w:val="24"/>
          <w:szCs w:val="24"/>
        </w:rPr>
        <w:t>.</w:t>
      </w:r>
    </w:p>
    <w:p w:rsidR="00BB74AE" w:rsidRPr="00A94ACD" w:rsidRDefault="00BB74AE" w:rsidP="00BB74AE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7" w:type="dxa"/>
        <w:tblLook w:val="04A0" w:firstRow="1" w:lastRow="0" w:firstColumn="1" w:lastColumn="0" w:noHBand="0" w:noVBand="1"/>
      </w:tblPr>
      <w:tblGrid>
        <w:gridCol w:w="3085"/>
        <w:gridCol w:w="2977"/>
        <w:gridCol w:w="2977"/>
        <w:gridCol w:w="688"/>
      </w:tblGrid>
      <w:tr w:rsidR="00BB74AE" w:rsidRPr="00A94ACD" w:rsidTr="006A520A">
        <w:trPr>
          <w:trHeight w:val="20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A9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Фінансування видатків загального фонду бюджету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громади по галузях за січень-квітень 2024</w:t>
            </w:r>
            <w:r w:rsidRPr="00A9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року</w:t>
            </w:r>
          </w:p>
          <w:p w:rsidR="00BB74AE" w:rsidRPr="00A94ACD" w:rsidRDefault="00BB74AE" w:rsidP="006A520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вказаний період  з урахуванням змін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Касові видатки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Державне управління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17712,9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14358,9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56342,9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Охорона здоров'я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2226,4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Соціальний захист та соціальне забезпечення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5673,8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Культура і мистецтво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7553,1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5068,0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Фізична культура і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1689,0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Житлово-комунальне господарство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6468,1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Економічна діяльність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Інша діяльність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Міжбюджетні трансферти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74AE" w:rsidRPr="00A94ACD" w:rsidTr="006A520A">
        <w:trPr>
          <w:gridAfter w:val="1"/>
          <w:wAfter w:w="688" w:type="dxa"/>
          <w:trHeight w:val="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129754,1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92711,3</w:t>
            </w:r>
          </w:p>
        </w:tc>
      </w:tr>
    </w:tbl>
    <w:p w:rsidR="00BB74AE" w:rsidRPr="00A94ACD" w:rsidRDefault="00BB74AE" w:rsidP="00BB74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712" w:rsidRDefault="00BB74AE" w:rsidP="00BB7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CD">
        <w:rPr>
          <w:rFonts w:ascii="Times New Roman" w:hAnsi="Times New Roman" w:cs="Times New Roman"/>
          <w:b/>
          <w:sz w:val="24"/>
          <w:szCs w:val="24"/>
        </w:rPr>
        <w:t>Порівняльний аналіз виконання видатків заг</w:t>
      </w:r>
      <w:r>
        <w:rPr>
          <w:rFonts w:ascii="Times New Roman" w:hAnsi="Times New Roman" w:cs="Times New Roman"/>
          <w:b/>
          <w:sz w:val="24"/>
          <w:szCs w:val="24"/>
        </w:rPr>
        <w:t>ального фонду за січень-квітень 2022-2024р.</w:t>
      </w:r>
    </w:p>
    <w:p w:rsidR="00BB74AE" w:rsidRPr="00EB2712" w:rsidRDefault="00EB2712" w:rsidP="00EB2712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712">
        <w:rPr>
          <w:rFonts w:ascii="Times New Roman" w:hAnsi="Times New Roman" w:cs="Times New Roman"/>
          <w:sz w:val="24"/>
          <w:szCs w:val="24"/>
        </w:rPr>
        <w:t>тис. грн.</w:t>
      </w:r>
    </w:p>
    <w:p w:rsidR="00BB74AE" w:rsidRPr="00A94ACD" w:rsidRDefault="00385C64" w:rsidP="00EB2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2712">
        <w:rPr>
          <w:noProof/>
          <w:lang w:val="en-US"/>
        </w:rPr>
        <w:drawing>
          <wp:inline distT="0" distB="0" distL="0" distR="0" wp14:anchorId="15868EE0" wp14:editId="6623D587">
            <wp:extent cx="58293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9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119"/>
        <w:gridCol w:w="2551"/>
        <w:gridCol w:w="553"/>
        <w:gridCol w:w="9640"/>
      </w:tblGrid>
      <w:tr w:rsidR="00BB74AE" w:rsidRPr="00A94ACD" w:rsidTr="006A520A">
        <w:trPr>
          <w:trHeight w:val="2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AE" w:rsidRPr="00A94ACD" w:rsidRDefault="00BB74AE" w:rsidP="006A5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Фінансування видатків спеціального фонду бюджету грома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 по галузях за січень-квітень 2024</w:t>
            </w:r>
            <w:r w:rsidRPr="00A94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  <w:p w:rsidR="00BB74AE" w:rsidRPr="00A94ACD" w:rsidRDefault="00BB74AE" w:rsidP="006A5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B74AE" w:rsidRPr="000C5DD5" w:rsidRDefault="00BB74AE" w:rsidP="006A5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вказаний період з урахуванням змін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Касові видатки</w:t>
            </w: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Державне управління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BF57F0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613,3</w:t>
            </w: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908,5</w:t>
            </w: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Охорона здоров'я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Соціальний захист та соціальне забезпечення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3603,9</w:t>
            </w: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Культура і мистецтво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Фізична культура і спорт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Житлово-комунальне господарство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Економічна діяльність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sz w:val="24"/>
                <w:szCs w:val="24"/>
              </w:rPr>
              <w:t>Інша діяльність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2718,2</w:t>
            </w: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Міжбюджетні трансферти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BB74AE" w:rsidRPr="00A94ACD" w:rsidTr="006A520A">
        <w:trPr>
          <w:gridAfter w:val="2"/>
          <w:wAfter w:w="10193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CD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14066,6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AE" w:rsidRPr="00A94ACD" w:rsidRDefault="00BB74AE" w:rsidP="006A5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8679,6</w:t>
            </w:r>
          </w:p>
        </w:tc>
      </w:tr>
    </w:tbl>
    <w:p w:rsidR="00BB74AE" w:rsidRPr="00A94ACD" w:rsidRDefault="00BB74AE" w:rsidP="00BB74AE">
      <w:pPr>
        <w:rPr>
          <w:rFonts w:ascii="Times New Roman" w:hAnsi="Times New Roman" w:cs="Times New Roman"/>
          <w:b/>
          <w:sz w:val="24"/>
          <w:szCs w:val="24"/>
        </w:rPr>
      </w:pPr>
    </w:p>
    <w:p w:rsidR="00BB74AE" w:rsidRPr="00A94ACD" w:rsidRDefault="00BB74AE" w:rsidP="00BB7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ACD">
        <w:rPr>
          <w:rFonts w:ascii="Times New Roman" w:hAnsi="Times New Roman" w:cs="Times New Roman"/>
          <w:b/>
          <w:sz w:val="24"/>
          <w:szCs w:val="24"/>
        </w:rPr>
        <w:t>Порівняльний аналіз виконання видатків спеціального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фонду за січень-квітень  2022-2024</w:t>
      </w:r>
      <w:r w:rsidRPr="00A94ACD">
        <w:rPr>
          <w:rFonts w:ascii="Times New Roman" w:hAnsi="Times New Roman" w:cs="Times New Roman"/>
          <w:b/>
          <w:sz w:val="24"/>
          <w:szCs w:val="24"/>
        </w:rPr>
        <w:t>р.</w:t>
      </w:r>
    </w:p>
    <w:p w:rsidR="00BB74AE" w:rsidRPr="00A94ACD" w:rsidRDefault="00BB74AE" w:rsidP="00BB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AE" w:rsidRDefault="00BB74AE" w:rsidP="00BB74A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тис. грн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B74AE" w:rsidRPr="00A94ACD" w:rsidRDefault="00BB74AE" w:rsidP="00BB74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5B8E886" wp14:editId="11BD2B6F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101B" w:rsidRPr="00BB74AE" w:rsidRDefault="0099101B" w:rsidP="00BB74AE">
      <w:pPr>
        <w:tabs>
          <w:tab w:val="left" w:pos="2028"/>
        </w:tabs>
      </w:pPr>
    </w:p>
    <w:sectPr w:rsidR="0099101B" w:rsidRPr="00BB74AE" w:rsidSect="0092632A">
      <w:headerReference w:type="default" r:id="rId11"/>
      <w:footerReference w:type="default" r:id="rId12"/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A0" w:rsidRDefault="002F44A0" w:rsidP="009E7F9C">
      <w:pPr>
        <w:spacing w:after="0" w:line="240" w:lineRule="auto"/>
      </w:pPr>
      <w:r>
        <w:separator/>
      </w:r>
    </w:p>
  </w:endnote>
  <w:endnote w:type="continuationSeparator" w:id="0">
    <w:p w:rsidR="002F44A0" w:rsidRDefault="002F44A0" w:rsidP="009E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9C" w:rsidRDefault="009E7F9C">
    <w:pPr>
      <w:pStyle w:val="a5"/>
    </w:pPr>
  </w:p>
  <w:p w:rsidR="009E7F9C" w:rsidRDefault="009E7F9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A0" w:rsidRDefault="002F44A0" w:rsidP="009E7F9C">
      <w:pPr>
        <w:spacing w:after="0" w:line="240" w:lineRule="auto"/>
      </w:pPr>
      <w:r>
        <w:separator/>
      </w:r>
    </w:p>
  </w:footnote>
  <w:footnote w:type="continuationSeparator" w:id="0">
    <w:p w:rsidR="002F44A0" w:rsidRDefault="002F44A0" w:rsidP="009E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9C" w:rsidRDefault="009E7F9C" w:rsidP="009E7F9C">
    <w:pPr>
      <w:pStyle w:val="a3"/>
      <w:tabs>
        <w:tab w:val="clear" w:pos="4819"/>
        <w:tab w:val="clear" w:pos="9639"/>
        <w:tab w:val="left" w:pos="21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4"/>
    <w:rsid w:val="000141B4"/>
    <w:rsid w:val="00033852"/>
    <w:rsid w:val="00040707"/>
    <w:rsid w:val="00055039"/>
    <w:rsid w:val="00064DB4"/>
    <w:rsid w:val="000A3FD0"/>
    <w:rsid w:val="000B2C01"/>
    <w:rsid w:val="000C4563"/>
    <w:rsid w:val="00107A0A"/>
    <w:rsid w:val="00116143"/>
    <w:rsid w:val="00116A84"/>
    <w:rsid w:val="00132BD3"/>
    <w:rsid w:val="001562BF"/>
    <w:rsid w:val="0016043F"/>
    <w:rsid w:val="00192FD2"/>
    <w:rsid w:val="001E618F"/>
    <w:rsid w:val="00212644"/>
    <w:rsid w:val="00216412"/>
    <w:rsid w:val="002A2916"/>
    <w:rsid w:val="002A4D9F"/>
    <w:rsid w:val="002B504B"/>
    <w:rsid w:val="002F44A0"/>
    <w:rsid w:val="00313E37"/>
    <w:rsid w:val="00343029"/>
    <w:rsid w:val="0034344B"/>
    <w:rsid w:val="003554F7"/>
    <w:rsid w:val="00374AD8"/>
    <w:rsid w:val="003800C0"/>
    <w:rsid w:val="00382A65"/>
    <w:rsid w:val="00383D6F"/>
    <w:rsid w:val="00385C64"/>
    <w:rsid w:val="00395E8D"/>
    <w:rsid w:val="003C6100"/>
    <w:rsid w:val="003D2E48"/>
    <w:rsid w:val="003E5FC4"/>
    <w:rsid w:val="004000CD"/>
    <w:rsid w:val="00453BA2"/>
    <w:rsid w:val="004A1FB9"/>
    <w:rsid w:val="004D378C"/>
    <w:rsid w:val="004F4353"/>
    <w:rsid w:val="004F6A30"/>
    <w:rsid w:val="00580FB3"/>
    <w:rsid w:val="0058244A"/>
    <w:rsid w:val="005855E6"/>
    <w:rsid w:val="00587C64"/>
    <w:rsid w:val="005D211B"/>
    <w:rsid w:val="00612F0E"/>
    <w:rsid w:val="00631B6D"/>
    <w:rsid w:val="00637995"/>
    <w:rsid w:val="00662201"/>
    <w:rsid w:val="00662CBA"/>
    <w:rsid w:val="0066702C"/>
    <w:rsid w:val="00672621"/>
    <w:rsid w:val="0069575D"/>
    <w:rsid w:val="006A448F"/>
    <w:rsid w:val="006A7011"/>
    <w:rsid w:val="006B527C"/>
    <w:rsid w:val="006D74A2"/>
    <w:rsid w:val="00707AB2"/>
    <w:rsid w:val="00717728"/>
    <w:rsid w:val="00723505"/>
    <w:rsid w:val="0075186E"/>
    <w:rsid w:val="00760F99"/>
    <w:rsid w:val="007746B2"/>
    <w:rsid w:val="007A1B6C"/>
    <w:rsid w:val="007C4FA9"/>
    <w:rsid w:val="007C59C8"/>
    <w:rsid w:val="007D3A4C"/>
    <w:rsid w:val="007F2557"/>
    <w:rsid w:val="007F3EB1"/>
    <w:rsid w:val="00842ECD"/>
    <w:rsid w:val="0084759E"/>
    <w:rsid w:val="00860332"/>
    <w:rsid w:val="00895F88"/>
    <w:rsid w:val="008A2C94"/>
    <w:rsid w:val="008A599B"/>
    <w:rsid w:val="008F38D8"/>
    <w:rsid w:val="00920074"/>
    <w:rsid w:val="00925909"/>
    <w:rsid w:val="0092632A"/>
    <w:rsid w:val="00956C1B"/>
    <w:rsid w:val="0098478C"/>
    <w:rsid w:val="0099101B"/>
    <w:rsid w:val="00994375"/>
    <w:rsid w:val="009A4082"/>
    <w:rsid w:val="009B47EA"/>
    <w:rsid w:val="009C1B23"/>
    <w:rsid w:val="009E7F9C"/>
    <w:rsid w:val="009F6C78"/>
    <w:rsid w:val="00A67EC2"/>
    <w:rsid w:val="00A909A4"/>
    <w:rsid w:val="00A951C3"/>
    <w:rsid w:val="00AC79D7"/>
    <w:rsid w:val="00B133C0"/>
    <w:rsid w:val="00B47C26"/>
    <w:rsid w:val="00B63B11"/>
    <w:rsid w:val="00B6583A"/>
    <w:rsid w:val="00B80AA1"/>
    <w:rsid w:val="00B95DF8"/>
    <w:rsid w:val="00BA09C0"/>
    <w:rsid w:val="00BB74AE"/>
    <w:rsid w:val="00BC0BDA"/>
    <w:rsid w:val="00BC74CB"/>
    <w:rsid w:val="00C05AD6"/>
    <w:rsid w:val="00C14C21"/>
    <w:rsid w:val="00C23AE5"/>
    <w:rsid w:val="00C26E54"/>
    <w:rsid w:val="00C51B26"/>
    <w:rsid w:val="00C6269C"/>
    <w:rsid w:val="00C70537"/>
    <w:rsid w:val="00C77845"/>
    <w:rsid w:val="00C928AD"/>
    <w:rsid w:val="00CB6FA8"/>
    <w:rsid w:val="00CC09F7"/>
    <w:rsid w:val="00D0329A"/>
    <w:rsid w:val="00D170F1"/>
    <w:rsid w:val="00D17672"/>
    <w:rsid w:val="00D217AE"/>
    <w:rsid w:val="00D83BE3"/>
    <w:rsid w:val="00D84E44"/>
    <w:rsid w:val="00DC1F0D"/>
    <w:rsid w:val="00DF7C01"/>
    <w:rsid w:val="00E06574"/>
    <w:rsid w:val="00E2231A"/>
    <w:rsid w:val="00E33E15"/>
    <w:rsid w:val="00E423FA"/>
    <w:rsid w:val="00E52ABC"/>
    <w:rsid w:val="00E77459"/>
    <w:rsid w:val="00EB2712"/>
    <w:rsid w:val="00EB7D19"/>
    <w:rsid w:val="00F14171"/>
    <w:rsid w:val="00F32D1C"/>
    <w:rsid w:val="00F355E4"/>
    <w:rsid w:val="00F767A9"/>
    <w:rsid w:val="00F96421"/>
    <w:rsid w:val="00FA1088"/>
    <w:rsid w:val="00FB71C9"/>
    <w:rsid w:val="00FC179E"/>
    <w:rsid w:val="00FD3C99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0CE76-E410-4A60-8E5D-E2BCFC46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F9C"/>
  </w:style>
  <w:style w:type="paragraph" w:styleId="a5">
    <w:name w:val="footer"/>
    <w:basedOn w:val="a"/>
    <w:link w:val="a6"/>
    <w:uiPriority w:val="99"/>
    <w:unhideWhenUsed/>
    <w:rsid w:val="009E7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F9C"/>
  </w:style>
  <w:style w:type="paragraph" w:styleId="a7">
    <w:name w:val="Normal (Web)"/>
    <w:basedOn w:val="a"/>
    <w:uiPriority w:val="99"/>
    <w:semiHidden/>
    <w:unhideWhenUsed/>
    <w:rsid w:val="00FC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FC17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86;&#1073;&#1086;&#1095;&#1080;&#1081;%20&#1089;&#1090;&#1110;&#1083;\&#1044;&#1054;&#1050;&#1059;&#1052;&#1045;&#1053;&#1058;&#1048;\&#1054;&#1055;&#1045;&#1056;&#1040;&#1058;&#1048;&#1042;&#1053;&#1040;%20&#1044;&#1054;%20&#1041;&#1070;&#1044;&#1046;&#1045;&#1058;&#105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86;&#1073;&#1086;&#1095;&#1080;&#1081;%20&#1089;&#1090;&#1110;&#1083;\&#1044;&#1054;&#1050;&#1059;&#1052;&#1045;&#1053;&#1058;&#1048;\&#1054;&#1055;&#1045;&#1056;&#1040;&#1058;&#1048;&#1042;&#1053;&#1040;%20&#1044;&#1054;%20&#1041;&#1070;&#1044;&#1046;&#1045;&#1058;&#105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TG-14\Desktop\&#1054;&#1087;&#1077;&#1088;&#1072;&#1090;&#1080;&#1074;&#1085;&#1072;%20&#1110;&#1085;&#1092;&#1086;&#1088;&#1084;&#1072;&#1094;&#1110;&#1103;\2024\&#1086;&#1087;&#1077;&#1088;&#1072;&#1090;&#1080;&#1074;&#1085;&#1072;%20&#1075;&#1088;&#1072;&#1092;&#111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TG-14\Desktop\&#1054;&#1087;&#1077;&#1088;&#1072;&#1090;&#1080;&#1074;&#1085;&#1072;%20&#1110;&#1085;&#1092;&#1086;&#1088;&#1084;&#1072;&#1094;&#1110;&#1103;\2024\&#1086;&#1087;&#1077;&#1088;&#1072;&#1090;&#1080;&#1074;&#1085;&#1072;%20&#1075;&#1088;&#1072;&#1092;&#1110;&#1082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2022 р.</c:v>
                </c:pt>
              </c:strCache>
            </c:strRef>
          </c:tx>
          <c:spPr>
            <a:ln w="285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1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Лист1!$A$6:$A$17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 </c:v>
                </c:pt>
                <c:pt idx="11">
                  <c:v>грудень</c:v>
                </c:pt>
              </c:strCache>
            </c:strRef>
          </c:cat>
          <c:val>
            <c:numRef>
              <c:f>Лист1!$B$6:$B$17</c:f>
              <c:numCache>
                <c:formatCode>General</c:formatCode>
                <c:ptCount val="12"/>
                <c:pt idx="0">
                  <c:v>12433.2</c:v>
                </c:pt>
                <c:pt idx="1">
                  <c:v>12795.2</c:v>
                </c:pt>
                <c:pt idx="2">
                  <c:v>10351</c:v>
                </c:pt>
                <c:pt idx="3">
                  <c:v>10432.5</c:v>
                </c:pt>
                <c:pt idx="4">
                  <c:v>12278.3</c:v>
                </c:pt>
                <c:pt idx="5">
                  <c:v>11548.9</c:v>
                </c:pt>
                <c:pt idx="6">
                  <c:v>11487</c:v>
                </c:pt>
                <c:pt idx="7">
                  <c:v>11742.2</c:v>
                </c:pt>
                <c:pt idx="8">
                  <c:v>13019.4</c:v>
                </c:pt>
                <c:pt idx="9">
                  <c:v>14501.7</c:v>
                </c:pt>
                <c:pt idx="10">
                  <c:v>15338.9</c:v>
                </c:pt>
                <c:pt idx="11">
                  <c:v>17123.8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E2-4ECA-B63F-42122C35BBAF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2023 р.</c:v>
                </c:pt>
              </c:strCache>
            </c:strRef>
          </c:tx>
          <c:spPr>
            <a:ln w="285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2"/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Лист1!$A$6:$A$17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 </c:v>
                </c:pt>
                <c:pt idx="11">
                  <c:v>грудень</c:v>
                </c:pt>
              </c:strCache>
            </c:strRef>
          </c:cat>
          <c:val>
            <c:numRef>
              <c:f>Лист1!$C$6:$C$17</c:f>
              <c:numCache>
                <c:formatCode>General</c:formatCode>
                <c:ptCount val="12"/>
                <c:pt idx="0">
                  <c:v>11352.5</c:v>
                </c:pt>
                <c:pt idx="1">
                  <c:v>14757.3</c:v>
                </c:pt>
                <c:pt idx="2">
                  <c:v>11614.6</c:v>
                </c:pt>
                <c:pt idx="3">
                  <c:v>15017.3</c:v>
                </c:pt>
                <c:pt idx="4">
                  <c:v>12753.6</c:v>
                </c:pt>
                <c:pt idx="5">
                  <c:v>14975.8</c:v>
                </c:pt>
                <c:pt idx="6">
                  <c:v>13656.4</c:v>
                </c:pt>
                <c:pt idx="7">
                  <c:v>14329.4</c:v>
                </c:pt>
                <c:pt idx="8">
                  <c:v>14240.6</c:v>
                </c:pt>
                <c:pt idx="9">
                  <c:v>18348</c:v>
                </c:pt>
                <c:pt idx="10">
                  <c:v>14774.5</c:v>
                </c:pt>
                <c:pt idx="11">
                  <c:v>15254.2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E2-4ECA-B63F-42122C35BBAF}"/>
            </c:ext>
          </c:extLst>
        </c:ser>
        <c:ser>
          <c:idx val="2"/>
          <c:order val="2"/>
          <c:tx>
            <c:strRef>
              <c:f>Лист1!$D$5</c:f>
              <c:strCache>
                <c:ptCount val="1"/>
                <c:pt idx="0">
                  <c:v>2024 р.</c:v>
                </c:pt>
              </c:strCache>
            </c:strRef>
          </c:tx>
          <c:spPr>
            <a:ln w="28575" cap="rnd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3"/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Лист1!$A$6:$A$17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 </c:v>
                </c:pt>
                <c:pt idx="11">
                  <c:v>грудень</c:v>
                </c:pt>
              </c:strCache>
            </c:strRef>
          </c:cat>
          <c:val>
            <c:numRef>
              <c:f>Лист1!$D$6:$D$17</c:f>
              <c:numCache>
                <c:formatCode>General</c:formatCode>
                <c:ptCount val="12"/>
                <c:pt idx="0">
                  <c:v>14121.9</c:v>
                </c:pt>
                <c:pt idx="1">
                  <c:v>15835.1</c:v>
                </c:pt>
                <c:pt idx="2" formatCode="0.0">
                  <c:v>12201.4</c:v>
                </c:pt>
                <c:pt idx="3">
                  <c:v>15130.6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E2-4ECA-B63F-42122C35B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897472"/>
        <c:axId val="115899008"/>
      </c:lineChart>
      <c:catAx>
        <c:axId val="115897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899008"/>
        <c:crosses val="autoZero"/>
        <c:auto val="1"/>
        <c:lblAlgn val="ctr"/>
        <c:lblOffset val="100"/>
        <c:noMultiLvlLbl val="0"/>
      </c:catAx>
      <c:valAx>
        <c:axId val="11589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8974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293963254593179E-2"/>
          <c:y val="4.214129483814523E-2"/>
          <c:w val="0.69915048118985124"/>
          <c:h val="0.7189603382910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2022 р.</c:v>
                </c:pt>
              </c:strCache>
            </c:strRef>
          </c:tx>
          <c:cat>
            <c:strRef>
              <c:f>Лист1!$A$27:$A$38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 </c:v>
                </c:pt>
                <c:pt idx="11">
                  <c:v>грудень</c:v>
                </c:pt>
              </c:strCache>
            </c:strRef>
          </c:cat>
          <c:val>
            <c:numRef>
              <c:f>Лист1!$B$27:$B$38</c:f>
              <c:numCache>
                <c:formatCode>General</c:formatCode>
                <c:ptCount val="12"/>
                <c:pt idx="0">
                  <c:v>195.7</c:v>
                </c:pt>
                <c:pt idx="1">
                  <c:v>565.70000000000005</c:v>
                </c:pt>
                <c:pt idx="2">
                  <c:v>853.9</c:v>
                </c:pt>
                <c:pt idx="3">
                  <c:v>142.1</c:v>
                </c:pt>
                <c:pt idx="4">
                  <c:v>183.6</c:v>
                </c:pt>
                <c:pt idx="5">
                  <c:v>209.7</c:v>
                </c:pt>
                <c:pt idx="6">
                  <c:v>1699.7</c:v>
                </c:pt>
                <c:pt idx="7">
                  <c:v>585.4</c:v>
                </c:pt>
                <c:pt idx="8">
                  <c:v>822.2</c:v>
                </c:pt>
                <c:pt idx="9">
                  <c:v>1244</c:v>
                </c:pt>
                <c:pt idx="10">
                  <c:v>3060.6</c:v>
                </c:pt>
                <c:pt idx="11">
                  <c:v>483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06-458C-BD0C-BACEE45C04AA}"/>
            </c:ext>
          </c:extLst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2023 р.</c:v>
                </c:pt>
              </c:strCache>
            </c:strRef>
          </c:tx>
          <c:cat>
            <c:strRef>
              <c:f>Лист1!$A$27:$A$38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 </c:v>
                </c:pt>
                <c:pt idx="11">
                  <c:v>грудень</c:v>
                </c:pt>
              </c:strCache>
            </c:strRef>
          </c:cat>
          <c:val>
            <c:numRef>
              <c:f>Лист1!$C$27:$C$38</c:f>
              <c:numCache>
                <c:formatCode>General</c:formatCode>
                <c:ptCount val="12"/>
                <c:pt idx="0">
                  <c:v>405.6</c:v>
                </c:pt>
                <c:pt idx="1">
                  <c:v>593.79999999999995</c:v>
                </c:pt>
                <c:pt idx="2">
                  <c:v>815.3</c:v>
                </c:pt>
                <c:pt idx="3">
                  <c:v>697.3</c:v>
                </c:pt>
                <c:pt idx="4">
                  <c:v>1207.7</c:v>
                </c:pt>
                <c:pt idx="5">
                  <c:v>6457.7</c:v>
                </c:pt>
                <c:pt idx="6">
                  <c:v>529.5</c:v>
                </c:pt>
                <c:pt idx="7">
                  <c:v>719.7</c:v>
                </c:pt>
                <c:pt idx="8">
                  <c:v>648.70000000000005</c:v>
                </c:pt>
                <c:pt idx="9">
                  <c:v>1030.3</c:v>
                </c:pt>
                <c:pt idx="10">
                  <c:v>942.9</c:v>
                </c:pt>
                <c:pt idx="11">
                  <c:v>2601.4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06-458C-BD0C-BACEE45C04AA}"/>
            </c:ext>
          </c:extLst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2024 р.</c:v>
                </c:pt>
              </c:strCache>
            </c:strRef>
          </c:tx>
          <c:cat>
            <c:strRef>
              <c:f>Лист1!$A$27:$A$38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 </c:v>
                </c:pt>
                <c:pt idx="11">
                  <c:v>грудень</c:v>
                </c:pt>
              </c:strCache>
            </c:strRef>
          </c:cat>
          <c:val>
            <c:numRef>
              <c:f>Лист1!$D$27:$D$38</c:f>
              <c:numCache>
                <c:formatCode>General</c:formatCode>
                <c:ptCount val="12"/>
                <c:pt idx="0">
                  <c:v>4271.1000000000004</c:v>
                </c:pt>
                <c:pt idx="1">
                  <c:v>1175.5999999999999</c:v>
                </c:pt>
                <c:pt idx="2">
                  <c:v>571.79999999999995</c:v>
                </c:pt>
                <c:pt idx="3">
                  <c:v>842.5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06-458C-BD0C-BACEE45C0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928064"/>
        <c:axId val="115929856"/>
      </c:lineChart>
      <c:catAx>
        <c:axId val="11592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929856"/>
        <c:crosses val="autoZero"/>
        <c:auto val="1"/>
        <c:lblAlgn val="ctr"/>
        <c:lblOffset val="100"/>
        <c:noMultiLvlLbl val="0"/>
      </c:catAx>
      <c:valAx>
        <c:axId val="11592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928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Лист1!$B$4:$B$13</c:f>
              <c:strCache>
                <c:ptCount val="10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Соціальний захист та соціальне забезпечення</c:v>
                </c:pt>
                <c:pt idx="4">
                  <c:v>Культура і мистецтво</c:v>
                </c:pt>
                <c:pt idx="5">
                  <c:v>Фізична культура і спорт</c:v>
                </c:pt>
                <c:pt idx="6">
                  <c:v>Житлово-комунальне господарство</c:v>
                </c:pt>
                <c:pt idx="7">
                  <c:v>Економічна діяльність</c:v>
                </c:pt>
                <c:pt idx="8">
                  <c:v>Інша діяльність</c:v>
                </c:pt>
                <c:pt idx="9">
                  <c:v>Міжбюджетні трансферти</c:v>
                </c:pt>
              </c:strCache>
            </c:strRef>
          </c:cat>
          <c:val>
            <c:numRef>
              <c:f>Лист1!$C$4:$C$13</c:f>
              <c:numCache>
                <c:formatCode>General</c:formatCode>
                <c:ptCount val="10"/>
                <c:pt idx="0">
                  <c:v>10776.4</c:v>
                </c:pt>
                <c:pt idx="1">
                  <c:v>53190.7</c:v>
                </c:pt>
                <c:pt idx="2">
                  <c:v>2995.9</c:v>
                </c:pt>
                <c:pt idx="3">
                  <c:v>3634.1</c:v>
                </c:pt>
                <c:pt idx="4">
                  <c:v>4258.3</c:v>
                </c:pt>
                <c:pt idx="5">
                  <c:v>1659.8</c:v>
                </c:pt>
                <c:pt idx="6">
                  <c:v>5652.5</c:v>
                </c:pt>
                <c:pt idx="7">
                  <c:v>90.9</c:v>
                </c:pt>
                <c:pt idx="8">
                  <c:v>842.2</c:v>
                </c:pt>
                <c:pt idx="9">
                  <c:v>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4-489B-AC6B-46BC00E85F00}"/>
            </c:ext>
          </c:extLst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Лист1!$B$4:$B$13</c:f>
              <c:strCache>
                <c:ptCount val="10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Соціальний захист та соціальне забезпечення</c:v>
                </c:pt>
                <c:pt idx="4">
                  <c:v>Культура і мистецтво</c:v>
                </c:pt>
                <c:pt idx="5">
                  <c:v>Фізична культура і спорт</c:v>
                </c:pt>
                <c:pt idx="6">
                  <c:v>Житлово-комунальне господарство</c:v>
                </c:pt>
                <c:pt idx="7">
                  <c:v>Економічна діяльність</c:v>
                </c:pt>
                <c:pt idx="8">
                  <c:v>Інша діяльність</c:v>
                </c:pt>
                <c:pt idx="9">
                  <c:v>Міжбюджетні трансферти</c:v>
                </c:pt>
              </c:strCache>
            </c:strRef>
          </c:cat>
          <c:val>
            <c:numRef>
              <c:f>Лист1!$D$4:$D$13</c:f>
              <c:numCache>
                <c:formatCode>General</c:formatCode>
                <c:ptCount val="10"/>
                <c:pt idx="0">
                  <c:v>13206.3</c:v>
                </c:pt>
                <c:pt idx="1">
                  <c:v>52711.8</c:v>
                </c:pt>
                <c:pt idx="2">
                  <c:v>3263.4</c:v>
                </c:pt>
                <c:pt idx="3">
                  <c:v>4602.2</c:v>
                </c:pt>
                <c:pt idx="4">
                  <c:v>4540.3</c:v>
                </c:pt>
                <c:pt idx="5">
                  <c:v>1670.2</c:v>
                </c:pt>
                <c:pt idx="6">
                  <c:v>5931.4</c:v>
                </c:pt>
                <c:pt idx="7">
                  <c:v>621.5</c:v>
                </c:pt>
                <c:pt idx="8">
                  <c:v>407.2</c:v>
                </c:pt>
                <c:pt idx="9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04-489B-AC6B-46BC00E85F00}"/>
            </c:ext>
          </c:extLst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Лист1!$B$4:$B$13</c:f>
              <c:strCache>
                <c:ptCount val="10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Соціальний захист та соціальне забезпечення</c:v>
                </c:pt>
                <c:pt idx="4">
                  <c:v>Культура і мистецтво</c:v>
                </c:pt>
                <c:pt idx="5">
                  <c:v>Фізична культура і спорт</c:v>
                </c:pt>
                <c:pt idx="6">
                  <c:v>Житлово-комунальне господарство</c:v>
                </c:pt>
                <c:pt idx="7">
                  <c:v>Економічна діяльність</c:v>
                </c:pt>
                <c:pt idx="8">
                  <c:v>Інша діяльність</c:v>
                </c:pt>
                <c:pt idx="9">
                  <c:v>Міжбюджетні трансферти</c:v>
                </c:pt>
              </c:strCache>
            </c:strRef>
          </c:cat>
          <c:val>
            <c:numRef>
              <c:f>Лист1!$E$4:$E$13</c:f>
              <c:numCache>
                <c:formatCode>General</c:formatCode>
                <c:ptCount val="10"/>
                <c:pt idx="0">
                  <c:v>14358.9</c:v>
                </c:pt>
                <c:pt idx="1">
                  <c:v>56342.9</c:v>
                </c:pt>
                <c:pt idx="2">
                  <c:v>2226.4</c:v>
                </c:pt>
                <c:pt idx="3">
                  <c:v>5673.8</c:v>
                </c:pt>
                <c:pt idx="4">
                  <c:v>5067.8999999999996</c:v>
                </c:pt>
                <c:pt idx="5">
                  <c:v>1689</c:v>
                </c:pt>
                <c:pt idx="6">
                  <c:v>6468.1</c:v>
                </c:pt>
                <c:pt idx="7">
                  <c:v>218.2</c:v>
                </c:pt>
                <c:pt idx="8">
                  <c:v>515.9</c:v>
                </c:pt>
                <c:pt idx="9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04-489B-AC6B-46BC00E85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1088768"/>
        <c:axId val="631090080"/>
        <c:axId val="353817024"/>
      </c:bar3DChart>
      <c:catAx>
        <c:axId val="631088768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1090080"/>
        <c:crosses val="autoZero"/>
        <c:auto val="1"/>
        <c:lblAlgn val="ctr"/>
        <c:lblOffset val="100"/>
        <c:noMultiLvlLbl val="0"/>
      </c:catAx>
      <c:valAx>
        <c:axId val="63109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1088768"/>
        <c:crosses val="autoZero"/>
        <c:crossBetween val="between"/>
      </c:valAx>
      <c:serAx>
        <c:axId val="353817024"/>
        <c:scaling>
          <c:orientation val="minMax"/>
        </c:scaling>
        <c:delete val="1"/>
        <c:axPos val="b"/>
        <c:majorTickMark val="out"/>
        <c:minorTickMark val="none"/>
        <c:tickLblPos val="nextTo"/>
        <c:crossAx val="631090080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Лист2!$C$4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Лист2!$B$5:$B$14</c:f>
              <c:strCache>
                <c:ptCount val="10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Соціальний захист та соціальне забезпечення</c:v>
                </c:pt>
                <c:pt idx="4">
                  <c:v>Культура і мистецтво</c:v>
                </c:pt>
                <c:pt idx="5">
                  <c:v>Фізична культура і спорт</c:v>
                </c:pt>
                <c:pt idx="6">
                  <c:v>Житлово-комунальне господарство</c:v>
                </c:pt>
                <c:pt idx="7">
                  <c:v>Економічна діяльність</c:v>
                </c:pt>
                <c:pt idx="8">
                  <c:v>Інша діяльність</c:v>
                </c:pt>
                <c:pt idx="9">
                  <c:v>Міжбюджетні трансферти</c:v>
                </c:pt>
              </c:strCache>
            </c:strRef>
          </c:cat>
          <c:val>
            <c:numRef>
              <c:f>Лист2!$C$5:$C$14</c:f>
              <c:numCache>
                <c:formatCode>General</c:formatCode>
                <c:ptCount val="10"/>
                <c:pt idx="0">
                  <c:v>374.8</c:v>
                </c:pt>
                <c:pt idx="1">
                  <c:v>67.5</c:v>
                </c:pt>
                <c:pt idx="2">
                  <c:v>160</c:v>
                </c:pt>
                <c:pt idx="3">
                  <c:v>426.6</c:v>
                </c:pt>
                <c:pt idx="7">
                  <c:v>1388.9</c:v>
                </c:pt>
                <c:pt idx="8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8-4879-AC23-66E70E3C5068}"/>
            </c:ext>
          </c:extLst>
        </c:ser>
        <c:ser>
          <c:idx val="1"/>
          <c:order val="1"/>
          <c:tx>
            <c:strRef>
              <c:f>Лист2!$D$4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Лист2!$B$5:$B$14</c:f>
              <c:strCache>
                <c:ptCount val="10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Соціальний захист та соціальне забезпечення</c:v>
                </c:pt>
                <c:pt idx="4">
                  <c:v>Культура і мистецтво</c:v>
                </c:pt>
                <c:pt idx="5">
                  <c:v>Фізична культура і спорт</c:v>
                </c:pt>
                <c:pt idx="6">
                  <c:v>Житлово-комунальне господарство</c:v>
                </c:pt>
                <c:pt idx="7">
                  <c:v>Економічна діяльність</c:v>
                </c:pt>
                <c:pt idx="8">
                  <c:v>Інша діяльність</c:v>
                </c:pt>
                <c:pt idx="9">
                  <c:v>Міжбюджетні трансферти</c:v>
                </c:pt>
              </c:strCache>
            </c:strRef>
          </c:cat>
          <c:val>
            <c:numRef>
              <c:f>Лист2!$D$5:$D$14</c:f>
              <c:numCache>
                <c:formatCode>General</c:formatCode>
                <c:ptCount val="10"/>
                <c:pt idx="0">
                  <c:v>866</c:v>
                </c:pt>
                <c:pt idx="1">
                  <c:v>1689.6</c:v>
                </c:pt>
                <c:pt idx="2">
                  <c:v>3544.5</c:v>
                </c:pt>
                <c:pt idx="3">
                  <c:v>237.6</c:v>
                </c:pt>
                <c:pt idx="9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8-4879-AC23-66E70E3C5068}"/>
            </c:ext>
          </c:extLst>
        </c:ser>
        <c:ser>
          <c:idx val="2"/>
          <c:order val="2"/>
          <c:tx>
            <c:strRef>
              <c:f>Лист2!$E$4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Лист2!$B$5:$B$14</c:f>
              <c:strCache>
                <c:ptCount val="10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Соціальний захист та соціальне забезпечення</c:v>
                </c:pt>
                <c:pt idx="4">
                  <c:v>Культура і мистецтво</c:v>
                </c:pt>
                <c:pt idx="5">
                  <c:v>Фізична культура і спорт</c:v>
                </c:pt>
                <c:pt idx="6">
                  <c:v>Житлово-комунальне господарство</c:v>
                </c:pt>
                <c:pt idx="7">
                  <c:v>Економічна діяльність</c:v>
                </c:pt>
                <c:pt idx="8">
                  <c:v>Інша діяльність</c:v>
                </c:pt>
                <c:pt idx="9">
                  <c:v>Міжбюджетні трансферти</c:v>
                </c:pt>
              </c:strCache>
            </c:strRef>
          </c:cat>
          <c:val>
            <c:numRef>
              <c:f>Лист2!$E$5:$E$14</c:f>
              <c:numCache>
                <c:formatCode>General</c:formatCode>
                <c:ptCount val="10"/>
                <c:pt idx="0">
                  <c:v>613.29999999999995</c:v>
                </c:pt>
                <c:pt idx="1">
                  <c:v>908.5</c:v>
                </c:pt>
                <c:pt idx="3">
                  <c:v>3603.9</c:v>
                </c:pt>
                <c:pt idx="4">
                  <c:v>5.7</c:v>
                </c:pt>
                <c:pt idx="8">
                  <c:v>2718.2</c:v>
                </c:pt>
                <c:pt idx="9">
                  <c:v>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8-4879-AC23-66E70E3C5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953440"/>
        <c:axId val="366953112"/>
        <c:axId val="368285424"/>
      </c:bar3DChart>
      <c:catAx>
        <c:axId val="36695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953112"/>
        <c:crosses val="autoZero"/>
        <c:auto val="1"/>
        <c:lblAlgn val="ctr"/>
        <c:lblOffset val="100"/>
        <c:noMultiLvlLbl val="0"/>
      </c:catAx>
      <c:valAx>
        <c:axId val="366953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953440"/>
        <c:crosses val="autoZero"/>
        <c:crossBetween val="between"/>
      </c:valAx>
      <c:serAx>
        <c:axId val="368285424"/>
        <c:scaling>
          <c:orientation val="minMax"/>
        </c:scaling>
        <c:delete val="1"/>
        <c:axPos val="b"/>
        <c:majorTickMark val="none"/>
        <c:minorTickMark val="none"/>
        <c:tickLblPos val="nextTo"/>
        <c:crossAx val="366953112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0BF2-536F-41D6-AB1D-3F9F2FCB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RoganinOTG_2</dc:creator>
  <cp:keywords/>
  <dc:description/>
  <cp:lastModifiedBy>Ірина Ігорівна</cp:lastModifiedBy>
  <cp:revision>110</cp:revision>
  <cp:lastPrinted>2024-05-21T05:26:00Z</cp:lastPrinted>
  <dcterms:created xsi:type="dcterms:W3CDTF">2022-02-02T07:57:00Z</dcterms:created>
  <dcterms:modified xsi:type="dcterms:W3CDTF">2024-05-21T05:28:00Z</dcterms:modified>
</cp:coreProperties>
</file>